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132" w:rsidP="00683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TLILIC3008 Licence to operate a slewing mobile crane (up to 20 tonnes)</w:t>
      </w:r>
      <w:r>
        <w:fldChar w:fldCharType="end"/>
      </w:r>
    </w:p>
    <w:p w:rsidR="00683132" w:rsidP="00683132">
      <w:pPr>
        <w:pStyle w:val="Version"/>
        <w:sectPr w:rsidSect="004D7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B42" w:rsidP="004D7B42">
      <w:pPr>
        <w:pStyle w:val="SuperHeading"/>
      </w:pPr>
      <w:r w:rsidRPr="004D7B42">
        <w:t>TLILIC3008 Licence to operate a slewing mobile crane (up to 20 tonnes)</w:t>
      </w:r>
    </w:p>
    <w:p w:rsidR="00000000" w:rsidRPr="004D7B42" w:rsidP="004D7B42">
      <w:pPr>
        <w:pStyle w:val="Heading1"/>
      </w:pPr>
      <w:bookmarkStart w:id="1" w:name="O_829443"/>
      <w:bookmarkEnd w:id="1"/>
      <w:r w:rsidRPr="004D7B42">
        <w:t>Modification History</w:t>
      </w:r>
    </w:p>
    <w:p w:rsidR="00683132" w:rsidP="00683132">
      <w:pPr>
        <w:pStyle w:val="BodyText"/>
      </w:pPr>
      <w:r w:rsidRPr="004D7B42">
        <w:t>Release 1. This is the first release of this unit of competency in the TLI Transport and Logistics Training Package.</w:t>
      </w:r>
    </w:p>
    <w:p w:rsidR="00000000" w:rsidRPr="004D7B42" w:rsidP="004D7B42">
      <w:pPr>
        <w:pStyle w:val="Heading1"/>
      </w:pPr>
      <w:bookmarkStart w:id="2" w:name="O_829444"/>
      <w:bookmarkEnd w:id="2"/>
      <w:r w:rsidRPr="004D7B42">
        <w:t>Application</w:t>
      </w:r>
    </w:p>
    <w:p w:rsidR="00000000" w:rsidRPr="004D7B42" w:rsidP="00683132">
      <w:pPr>
        <w:pStyle w:val="BodyText"/>
      </w:pPr>
      <w:r w:rsidRPr="004D7B42">
        <w:t>This unit specifies the skills and knowledge required to safely operate a slewing mobile crane with a capacity up to 20 tonnes.</w:t>
      </w:r>
    </w:p>
    <w:p w:rsidR="00000000" w:rsidRPr="004D7B42" w:rsidP="00683132">
      <w:pPr>
        <w:pStyle w:val="BodyText"/>
      </w:pPr>
      <w:r w:rsidRPr="004D7B42">
        <w:t>Slewing mobile crane means a mobile crane incorporating a boom or jib that can be slewed, but does not include:</w:t>
      </w:r>
    </w:p>
    <w:p w:rsidR="00000000" w:rsidRPr="004D7B42" w:rsidP="004D7B42">
      <w:pPr>
        <w:pStyle w:val="ListBullet"/>
      </w:pPr>
      <w:r w:rsidRPr="004D7B42">
        <w:t>a front-end loa</w:t>
      </w:r>
      <w:r w:rsidRPr="004D7B42">
        <w:t>der or</w:t>
      </w:r>
    </w:p>
    <w:p w:rsidR="00000000" w:rsidRPr="004D7B42" w:rsidP="004D7B42">
      <w:pPr>
        <w:pStyle w:val="ListBullet"/>
      </w:pPr>
      <w:r w:rsidRPr="004D7B42">
        <w:t>a backhoe or</w:t>
      </w:r>
    </w:p>
    <w:p w:rsidR="00000000" w:rsidRPr="004D7B42" w:rsidP="004D7B42">
      <w:pPr>
        <w:pStyle w:val="ListBullet"/>
      </w:pPr>
      <w:r w:rsidRPr="004D7B42">
        <w:t>an excavator or</w:t>
      </w:r>
    </w:p>
    <w:p w:rsidR="00000000" w:rsidRPr="004D7B42" w:rsidP="004D7B42">
      <w:pPr>
        <w:pStyle w:val="ListBullet"/>
      </w:pPr>
      <w:r w:rsidRPr="004D7B42">
        <w:t>other earth moving equipment, when configured for crane operation.</w:t>
      </w:r>
    </w:p>
    <w:p w:rsidR="00000000" w:rsidRPr="004D7B42" w:rsidP="00683132">
      <w:pPr>
        <w:pStyle w:val="BodyText"/>
      </w:pPr>
      <w:r w:rsidRPr="004D7B42">
        <w:t xml:space="preserve">This unit applies to the activities of a person operating slewing mobile crane with a capacity up to 20 tonnes that is a: </w:t>
      </w:r>
    </w:p>
    <w:p w:rsidR="00000000" w:rsidRPr="004D7B42" w:rsidP="004D7B42">
      <w:pPr>
        <w:pStyle w:val="ListBullet"/>
      </w:pPr>
      <w:r w:rsidRPr="004D7B42">
        <w:t>non-slewing mobile crane with</w:t>
      </w:r>
      <w:r w:rsidRPr="004D7B42">
        <w:t xml:space="preserve"> a capacity exceeding 3 tonnes</w:t>
      </w:r>
    </w:p>
    <w:p w:rsidR="00000000" w:rsidRPr="004D7B42" w:rsidP="004D7B42">
      <w:pPr>
        <w:pStyle w:val="ListBullet"/>
      </w:pPr>
      <w:r w:rsidRPr="004D7B42">
        <w:t>reach stacker</w:t>
      </w:r>
    </w:p>
    <w:p w:rsidR="00000000" w:rsidRPr="004D7B42" w:rsidP="004D7B42">
      <w:pPr>
        <w:pStyle w:val="ListBullet"/>
      </w:pPr>
      <w:r w:rsidRPr="004D7B42">
        <w:t>slewing mobile crane with a capacity of 20 tonnes or less</w:t>
      </w:r>
    </w:p>
    <w:p w:rsidR="00000000" w:rsidRPr="004D7B42" w:rsidP="004D7B42">
      <w:pPr>
        <w:pStyle w:val="ListBullet"/>
      </w:pPr>
      <w:r w:rsidRPr="004D7B42">
        <w:t>vehicle loading crane with a capacity of 10 metre tonnes or more, excluding the application of load estimation and slinging techniques to move a load.</w:t>
      </w:r>
    </w:p>
    <w:p w:rsidR="00000000" w:rsidRPr="004D7B42" w:rsidP="00683132">
      <w:pPr>
        <w:pStyle w:val="BodyText"/>
      </w:pPr>
      <w:r w:rsidRPr="004D7B42">
        <w:t xml:space="preserve">A </w:t>
      </w:r>
      <w:r w:rsidRPr="004D7B42">
        <w:t>person performing this work is required to hold a slewing mobile crane – with a capacity up to 20 tonnes high risk work (HRW) licence.</w:t>
      </w:r>
    </w:p>
    <w:p w:rsidR="00000000" w:rsidRPr="004D7B42" w:rsidP="00683132">
      <w:pPr>
        <w:pStyle w:val="BodyText"/>
      </w:pPr>
      <w:r w:rsidRPr="004D7B42">
        <w:t>This unit requires a person operating slewing mobile crane with a capacity up to 20 tonnes to plan the work, conduct rout</w:t>
      </w:r>
      <w:r w:rsidRPr="004D7B42">
        <w:t>ine checks, set up crane, transfer a load, mobile load and shut down and secure the crane after completing the operation.</w:t>
      </w:r>
    </w:p>
    <w:p w:rsidR="00000000" w:rsidRPr="004D7B42" w:rsidP="00683132">
      <w:pPr>
        <w:pStyle w:val="Heading3"/>
      </w:pPr>
      <w:r w:rsidRPr="004D7B42">
        <w:rPr>
          <w:rStyle w:val="SpecialBold"/>
        </w:rPr>
        <w:t>Licensing/Regulatory Information</w:t>
      </w:r>
    </w:p>
    <w:p w:rsidR="00000000" w:rsidRPr="004D7B42" w:rsidP="00683132">
      <w:pPr>
        <w:pStyle w:val="BodyText"/>
      </w:pPr>
      <w:r w:rsidRPr="004D7B42">
        <w:t>This unit is based on the licensing requirements of Part 4.5 of the Model Work Health and Safety (WHS</w:t>
      </w:r>
      <w:r w:rsidRPr="004D7B42">
        <w:t xml:space="preserve">) Regulations, HRW and meets Commonwealth, state and territory HRW licensing requirements. </w:t>
      </w:r>
    </w:p>
    <w:p w:rsidR="00683132" w:rsidP="00683132">
      <w:pPr>
        <w:pStyle w:val="BodyText"/>
      </w:pPr>
      <w:r w:rsidRPr="004D7B42">
        <w:t xml:space="preserve">Any alteration to this unit would result in a unit that would not be acceptable to work health and safety (WHS)/occupational health and safety (OHS) regulators for </w:t>
      </w:r>
      <w:r w:rsidRPr="004D7B42">
        <w:t>the purpose of licensing.</w:t>
      </w:r>
    </w:p>
    <w:p w:rsidR="00000000" w:rsidRPr="004D7B42" w:rsidP="004D7B42">
      <w:pPr>
        <w:pStyle w:val="Heading1"/>
      </w:pPr>
      <w:bookmarkStart w:id="3" w:name="O_829445"/>
      <w:bookmarkEnd w:id="3"/>
      <w:r w:rsidRPr="004D7B42">
        <w:t>Pre-requisite Unit</w:t>
      </w:r>
    </w:p>
    <w:p w:rsidR="00683132" w:rsidP="00683132">
      <w:pPr>
        <w:pStyle w:val="BodyText"/>
      </w:pPr>
      <w:r w:rsidRPr="004D7B42">
        <w:t>Not applicable.</w:t>
      </w:r>
    </w:p>
    <w:p w:rsidR="00000000" w:rsidRPr="004D7B42" w:rsidP="004D7B42">
      <w:pPr>
        <w:pStyle w:val="Heading1"/>
      </w:pPr>
      <w:bookmarkStart w:id="4" w:name="O_829446"/>
      <w:bookmarkEnd w:id="4"/>
      <w:r w:rsidRPr="004D7B42">
        <w:t>Competency Field</w:t>
      </w:r>
    </w:p>
    <w:p w:rsidR="00683132" w:rsidP="00683132">
      <w:pPr>
        <w:pStyle w:val="BodyText"/>
      </w:pPr>
      <w:r w:rsidRPr="004D7B42">
        <w:t>LIC – Licensing</w:t>
      </w:r>
    </w:p>
    <w:p w:rsidR="00000000" w:rsidRPr="004D7B42" w:rsidP="004D7B42">
      <w:pPr>
        <w:pStyle w:val="Heading1"/>
      </w:pPr>
      <w:bookmarkStart w:id="5" w:name="O_829447"/>
      <w:bookmarkEnd w:id="5"/>
      <w:r w:rsidRPr="004D7B42">
        <w:t>Unit Sector</w:t>
      </w:r>
    </w:p>
    <w:p w:rsidR="00683132" w:rsidP="00683132">
      <w:pPr>
        <w:pStyle w:val="BodyText"/>
      </w:pPr>
      <w:r w:rsidRPr="004D7B42">
        <w:t>Not applicable.</w:t>
      </w:r>
    </w:p>
    <w:p w:rsidR="00000000" w:rsidRPr="004D7B42" w:rsidP="004D7B42">
      <w:pPr>
        <w:pStyle w:val="Heading1"/>
      </w:pPr>
      <w:bookmarkStart w:id="6" w:name="O_829448"/>
      <w:bookmarkEnd w:id="6"/>
      <w:r w:rsidRPr="004D7B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"/>
        <w:gridCol w:w="1898"/>
        <w:gridCol w:w="592"/>
        <w:gridCol w:w="6350"/>
      </w:tblGrid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PERFORMANCE CRITERIA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Performance criteria describe the performance needed to demonstrate achievement of the element.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Potential workplace hazards are identified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Hazard prevention/control measures are identified consistent with appropriate standards to ensure the safety of personnel and equipment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Weight of load is identified and estimated in consultation with relevant personnel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appropriate to the load/s and workplace conditions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Appropriate path for moving load/s in work area is inspected and determined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Appropriate communications methods are identified with relevant personnel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visually checked for any damage or defects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accessed in a safe manner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signage and labels are checked to ensure they are visible and legible in accordance with the appropriate standard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Routine pre-operational crane checks are carried out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controls are located and identified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service logbook is checked for compliance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started in accordance with procedures and is checked fo</w:t>
            </w:r>
            <w:r w:rsidRPr="004D7B42">
              <w:t>r any abnormal noise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crane safety devices are tested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Post-start operational checks are carried out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communications equipment is checked for serviceability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damage and defects are reported and recorded in accordance with procedures, and appropriate action is taken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Set up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Ground suitability is checked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driven to work area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positioned for work application and stability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 xml:space="preserve">Appropriate crane configuration for work task is determined as required, in accordance with procedures 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Boom/jib and counterweight configuration data is input into the crane computer as required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Appropriate hazard prevention/control measures are applied to work area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communications equipment is tested for functi</w:t>
            </w:r>
            <w:r w:rsidRPr="004D7B42">
              <w:t>onality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Transfer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Lifts are determined within the capacity of the crane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Boom/jib and hoist block is positioned over load following directions from relevant personnel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Test lift is c</w:t>
            </w:r>
            <w:r w:rsidRPr="004D7B42">
              <w:t>arried out in accordance with procedures to allow for checks to be safely made, in consultation with relevant personnel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Loads are transferred using all relevant crane movements in accordance with procedures and the appropriate standard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All required communications signals are correctly interpreted in accordance with procedures and the appropriate standard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operated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 xml:space="preserve">Load movement is monitored constantly, to ensure safety of personnel and </w:t>
            </w:r>
            <w:r w:rsidRPr="004D7B42">
              <w:t>load, and crane stability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Unplanned and/or unsafe situations are responded to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Mobile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Suitability of planned route for crane is checked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confi</w:t>
            </w:r>
            <w:r w:rsidRPr="004D7B42">
              <w:t>gured to mobile load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Load is moved using best mobile practice in accordance with the appropriate standard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boom/jib and equipment are stowed and secured as required in accordance with procedures and the appropriate standard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Relevant motion locks and brakes are applied as required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Outriggers/stabilisers are stowed and secured in accordance wi</w:t>
            </w:r>
            <w:r w:rsidRPr="004D7B42">
              <w:t>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Crane is shut down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Plates or packing are stowed and secured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Routine post-operational crane checks are carried out in accordance with procedures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t>All damage and defects are reported and recorded in accordance with procedures, and appropriate action is taken</w:t>
            </w:r>
          </w:p>
        </w:tc>
      </w:tr>
    </w:tbl>
    <w:p w:rsidR="00683132" w:rsidP="004D7B42">
      <w:pPr>
        <w:pStyle w:val="BodyText"/>
      </w:pPr>
    </w:p>
    <w:p w:rsidR="00683132" w:rsidP="004D7B42">
      <w:pPr>
        <w:pStyle w:val="BodyText"/>
      </w:pPr>
    </w:p>
    <w:p w:rsidR="00000000" w:rsidRPr="004D7B42" w:rsidP="004D7B42">
      <w:pPr>
        <w:pStyle w:val="Heading1"/>
      </w:pPr>
      <w:bookmarkStart w:id="7" w:name="O_829449"/>
      <w:bookmarkEnd w:id="7"/>
      <w:r w:rsidRPr="004D7B42">
        <w:t>Foundation Skills</w:t>
      </w:r>
    </w:p>
    <w:p w:rsidR="00000000" w:rsidRPr="004D7B42" w:rsidP="00683132">
      <w:pPr>
        <w:pStyle w:val="BodyText"/>
      </w:pPr>
      <w:r w:rsidRPr="004D7B42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95"/>
        <w:gridCol w:w="7401"/>
      </w:tblGrid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BodyText"/>
            </w:pPr>
            <w:r w:rsidRPr="004D7B4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rPr>
                <w:rStyle w:val="SpecialBold"/>
              </w:rPr>
              <w:t>Performance feature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ListBullet"/>
            </w:pPr>
            <w:r w:rsidRPr="004D7B42">
              <w:t>operate a slewing mobile crane up to 20 tonnes in different types</w:t>
            </w:r>
            <w:r w:rsidRPr="004D7B42">
              <w:t xml:space="preserve"> of workplaces transferring key principles of safe operation to different contexts</w:t>
            </w:r>
          </w:p>
          <w:p w:rsidR="00000000" w:rsidP="004D7B42">
            <w:pPr>
              <w:pStyle w:val="ListBullet"/>
              <w:rPr>
                <w:lang w:val="en-NZ"/>
              </w:rPr>
            </w:pPr>
            <w:r w:rsidRPr="004D7B42">
              <w:t>improve own performance in safely and efficiently operating a slewing mobile crane by incorporating learnings from different workplaces and different conditions into current</w:t>
            </w:r>
            <w:r w:rsidRPr="004D7B42">
              <w:t xml:space="preserve"> performance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ListBullet"/>
            </w:pPr>
            <w:r w:rsidRPr="004D7B42">
              <w:t>interpret numerical information including:</w:t>
            </w:r>
          </w:p>
          <w:p w:rsidR="00000000" w:rsidRPr="004D7B42" w:rsidP="004D7B42">
            <w:pPr>
              <w:pStyle w:val="ListBullet2"/>
            </w:pPr>
            <w:r w:rsidRPr="004D7B42">
              <w:t>selecting appropriate slewing mobile crane in accordance with load and workplace conditions</w:t>
            </w:r>
          </w:p>
          <w:p w:rsidR="00000000" w:rsidRPr="004D7B42" w:rsidP="004D7B42">
            <w:pPr>
              <w:pStyle w:val="ListBullet2"/>
            </w:pPr>
            <w:r w:rsidRPr="004D7B42">
              <w:t xml:space="preserve">load weight assessment, to ensure compliance with slewing mobile crane data plate specifications </w:t>
            </w:r>
          </w:p>
          <w:p w:rsidR="00000000" w:rsidP="004D7B42">
            <w:pPr>
              <w:pStyle w:val="ListBullet2"/>
              <w:rPr>
                <w:lang w:val="en-NZ"/>
              </w:rPr>
            </w:pPr>
            <w:r w:rsidRPr="004D7B42">
              <w:t>controlling and monitoring instrument readings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ListBullet"/>
            </w:pPr>
            <w:r w:rsidRPr="004D7B42">
              <w:t>use and interpret vocabulary specific to slewing mobile crane operations and workplace pr</w:t>
            </w:r>
            <w:r w:rsidRPr="004D7B42">
              <w:t>ocedures at a level sufficient to communicate with other workplace personnel</w:t>
            </w:r>
          </w:p>
          <w:p w:rsidR="00000000" w:rsidRPr="004D7B42" w:rsidP="004D7B42">
            <w:pPr>
              <w:pStyle w:val="ListBullet"/>
            </w:pPr>
            <w:r w:rsidRPr="004D7B42">
              <w:t>use non-verbal feedback to support effective communication</w:t>
            </w:r>
          </w:p>
          <w:p w:rsidR="00000000" w:rsidP="004D7B42">
            <w:pPr>
              <w:pStyle w:val="ListBullet"/>
              <w:rPr>
                <w:lang w:val="en-NZ"/>
              </w:rPr>
            </w:pPr>
            <w:r w:rsidRPr="004D7B42">
              <w:t xml:space="preserve">use relevant two-way radio conventions 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ListBullet"/>
            </w:pPr>
            <w:r w:rsidRPr="004D7B42">
              <w:t>interpret documentation that includes technical specificity including:</w:t>
            </w:r>
          </w:p>
          <w:p w:rsidR="00000000" w:rsidRPr="004D7B42" w:rsidP="004D7B42">
            <w:pPr>
              <w:pStyle w:val="ListBullet2"/>
            </w:pPr>
            <w:r w:rsidRPr="004D7B42">
              <w:t>slewing mobile crane data plate</w:t>
            </w:r>
          </w:p>
          <w:p w:rsidR="00000000" w:rsidRPr="004D7B42" w:rsidP="004D7B42">
            <w:pPr>
              <w:pStyle w:val="ListBullet2"/>
            </w:pPr>
            <w:r w:rsidRPr="004D7B42">
              <w:t>plant operation manuals and manufacturer specifications</w:t>
            </w:r>
          </w:p>
          <w:p w:rsidR="00000000" w:rsidRPr="004D7B42" w:rsidP="004D7B42">
            <w:pPr>
              <w:pStyle w:val="ListBullet2"/>
            </w:pPr>
            <w:r w:rsidRPr="004D7B42">
              <w:t>workplace procedures, including emergency plan</w:t>
            </w:r>
          </w:p>
          <w:p w:rsidR="00000000" w:rsidP="004D7B42">
            <w:pPr>
              <w:pStyle w:val="ListBullet2"/>
              <w:rPr>
                <w:lang w:val="en-NZ"/>
              </w:rPr>
            </w:pPr>
            <w:r w:rsidRPr="004D7B42">
              <w:t>workplace signage and labels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ListBullet"/>
            </w:pPr>
            <w:r w:rsidRPr="004D7B42">
              <w:t>accurately record and maintain information relating to operating a slewing mobile crane, including:</w:t>
            </w:r>
          </w:p>
          <w:p w:rsidR="00000000" w:rsidRPr="004D7B42" w:rsidP="004D7B42">
            <w:pPr>
              <w:pStyle w:val="ListBullet2"/>
            </w:pPr>
            <w:r w:rsidRPr="004D7B42">
              <w:t>incident reports</w:t>
            </w:r>
          </w:p>
          <w:p w:rsidR="00000000" w:rsidP="004D7B42">
            <w:pPr>
              <w:pStyle w:val="ListBullet2"/>
              <w:rPr>
                <w:lang w:val="en-NZ"/>
              </w:rPr>
            </w:pPr>
            <w:r w:rsidRPr="004D7B42">
              <w:t>vehicle checking and maintenance records</w:t>
            </w:r>
          </w:p>
        </w:tc>
      </w:tr>
      <w:tr w:rsidTr="00683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42">
            <w:pPr>
              <w:pStyle w:val="BodyText"/>
              <w:rPr>
                <w:lang w:val="en-NZ"/>
              </w:rPr>
            </w:pPr>
            <w:r w:rsidRPr="004D7B42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42" w:rsidP="004D7B42">
            <w:pPr>
              <w:pStyle w:val="ListBullet"/>
            </w:pPr>
            <w:r w:rsidRPr="004D7B42">
              <w:t xml:space="preserve">implement risk control measures </w:t>
            </w:r>
          </w:p>
          <w:p w:rsidR="00000000" w:rsidRPr="004D7B42" w:rsidP="004D7B42">
            <w:pPr>
              <w:pStyle w:val="ListBullet"/>
            </w:pPr>
            <w:r w:rsidRPr="004D7B42">
              <w:t>initiate emergency management strategies</w:t>
            </w:r>
          </w:p>
        </w:tc>
      </w:tr>
    </w:tbl>
    <w:p w:rsidR="00683132" w:rsidP="004D7B42">
      <w:pPr>
        <w:pStyle w:val="BodyText"/>
      </w:pPr>
    </w:p>
    <w:p w:rsidR="00683132" w:rsidP="004D7B42">
      <w:pPr>
        <w:pStyle w:val="BodyText"/>
      </w:pPr>
    </w:p>
    <w:p w:rsidR="00000000" w:rsidRPr="004D7B42" w:rsidP="004D7B42">
      <w:pPr>
        <w:pStyle w:val="Heading1"/>
      </w:pPr>
      <w:bookmarkStart w:id="8" w:name="O_829450"/>
      <w:bookmarkEnd w:id="8"/>
      <w:r w:rsidRPr="004D7B42">
        <w:t>Range of Conditions</w:t>
      </w:r>
    </w:p>
    <w:p w:rsidR="00000000" w:rsidRPr="004D7B42" w:rsidP="00683132">
      <w:pPr>
        <w:pStyle w:val="BodyText"/>
      </w:pPr>
      <w:r w:rsidRPr="004D7B42">
        <w:t>Range is restricted to essential operating conditions and any other variables essential to the work environment.</w:t>
      </w:r>
    </w:p>
    <w:p w:rsidR="00683132" w:rsidP="00683132">
      <w:pPr>
        <w:pStyle w:val="BodyText"/>
      </w:pPr>
      <w:r w:rsidRPr="004D7B42">
        <w:t xml:space="preserve">Non-essential conditions can be found in the Companion Volume </w:t>
      </w:r>
      <w:r w:rsidRPr="004D7B42">
        <w:t>Implementation Guide.</w:t>
      </w:r>
    </w:p>
    <w:p w:rsidR="00000000" w:rsidRPr="004D7B42" w:rsidP="004D7B42">
      <w:pPr>
        <w:pStyle w:val="Heading1"/>
      </w:pPr>
      <w:bookmarkStart w:id="9" w:name="O_829451"/>
      <w:bookmarkEnd w:id="9"/>
      <w:r w:rsidRPr="004D7B42">
        <w:t>Unit Mapping Information</w:t>
      </w:r>
    </w:p>
    <w:p w:rsidR="00683132" w:rsidP="00683132">
      <w:pPr>
        <w:pStyle w:val="BodyText"/>
      </w:pPr>
      <w:r w:rsidRPr="004D7B42">
        <w:t>This unit is equivalent to TLILIC3008A Licence to operate a slewing mobile crane up to 20 tonnes.</w:t>
      </w:r>
    </w:p>
    <w:p w:rsidR="00000000" w:rsidRPr="004D7B42" w:rsidP="004D7B42">
      <w:pPr>
        <w:pStyle w:val="Heading1"/>
      </w:pPr>
      <w:bookmarkStart w:id="10" w:name="O_829458"/>
      <w:bookmarkEnd w:id="10"/>
      <w:r w:rsidRPr="004D7B42">
        <w:t>Links</w:t>
      </w:r>
    </w:p>
    <w:p w:rsidR="00000000" w:rsidRPr="004D7B42" w:rsidP="00683132">
      <w:pPr>
        <w:pStyle w:val="BodyText"/>
      </w:pPr>
      <w:r w:rsidRPr="004D7B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51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7B42" w:rsidP="004D7B42"/>
    <w:sectPr w:rsidSect="004D7B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42" w:rsidRPr="00683132" w:rsidP="00683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32" w:rsidP="004D7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132" w:rsidP="004D7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3132" w:rsidP="004D7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B42" w:rsidRPr="00683132" w:rsidP="00683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132" w:rsidRPr="002D2AF8" w:rsidP="004D7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TLILIC3008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683132" w:rsidP="004D7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8F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22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22A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B42"/>
  </w:style>
  <w:style w:type="character" w:customStyle="1" w:styleId="Heading1Char">
    <w:name w:val="Heading 1 Char"/>
    <w:basedOn w:val="DefaultParagraphFont"/>
    <w:link w:val="Heading1"/>
    <w:rsid w:val="004D7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B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B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B42"/>
    <w:rPr>
      <w:b/>
      <w:spacing w:val="0"/>
    </w:rPr>
  </w:style>
  <w:style w:type="paragraph" w:styleId="ListBullet2">
    <w:name w:val="List Bullet 2"/>
    <w:basedOn w:val="List2"/>
    <w:rsid w:val="004D7B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B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B42"/>
    <w:rPr>
      <w:i/>
    </w:rPr>
  </w:style>
  <w:style w:type="paragraph" w:styleId="Caption">
    <w:name w:val="caption"/>
    <w:basedOn w:val="BodyText"/>
    <w:next w:val="Normal"/>
    <w:qFormat/>
    <w:rsid w:val="004D7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B42"/>
  </w:style>
  <w:style w:type="paragraph" w:styleId="TableofFigures">
    <w:name w:val="table of figures"/>
    <w:basedOn w:val="Normal"/>
    <w:next w:val="Normal"/>
    <w:semiHidden/>
    <w:rsid w:val="004D7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B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B42"/>
    <w:rPr>
      <w:rFonts w:ascii="Wingdings" w:hAnsi="Wingdings"/>
    </w:rPr>
  </w:style>
  <w:style w:type="paragraph" w:customStyle="1" w:styleId="TableHeading">
    <w:name w:val="Table Heading"/>
    <w:basedOn w:val="HeadingBase"/>
    <w:rsid w:val="004D7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B42"/>
    <w:rPr>
      <w:color w:val="0033CC"/>
      <w:u w:val="none"/>
    </w:rPr>
  </w:style>
  <w:style w:type="paragraph" w:customStyle="1" w:styleId="BodyTextRight">
    <w:name w:val="Body Text Right"/>
    <w:basedOn w:val="BodyText"/>
    <w:rsid w:val="004D7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B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B42"/>
    <w:rPr>
      <w:sz w:val="32"/>
    </w:rPr>
  </w:style>
  <w:style w:type="paragraph" w:customStyle="1" w:styleId="HeadingProcedure">
    <w:name w:val="Heading Procedure"/>
    <w:basedOn w:val="HeadingBase"/>
    <w:next w:val="Normal"/>
    <w:rsid w:val="004D7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B42"/>
    <w:pPr>
      <w:spacing w:before="60" w:after="60"/>
    </w:pPr>
  </w:style>
  <w:style w:type="paragraph" w:styleId="ListContinue">
    <w:name w:val="List Continue"/>
    <w:basedOn w:val="List"/>
    <w:rsid w:val="004D7B42"/>
    <w:pPr>
      <w:ind w:firstLine="0"/>
    </w:pPr>
  </w:style>
  <w:style w:type="paragraph" w:customStyle="1" w:styleId="ListNote">
    <w:name w:val="List Note"/>
    <w:basedOn w:val="List"/>
    <w:rsid w:val="004D7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B42"/>
    <w:rPr>
      <w:rFonts w:ascii="Courier New" w:hAnsi="Courier New"/>
    </w:rPr>
  </w:style>
  <w:style w:type="paragraph" w:customStyle="1" w:styleId="NoteBullet">
    <w:name w:val="Note Bullet"/>
    <w:basedOn w:val="Note"/>
    <w:rsid w:val="004D7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B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B42"/>
    <w:rPr>
      <w:b/>
      <w:smallCaps/>
    </w:rPr>
  </w:style>
  <w:style w:type="paragraph" w:customStyle="1" w:styleId="TableListNumber">
    <w:name w:val="Table List Number"/>
    <w:basedOn w:val="ListNumber"/>
    <w:rsid w:val="004D7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B42"/>
    <w:pPr>
      <w:numPr>
        <w:numId w:val="9"/>
      </w:numPr>
    </w:pPr>
  </w:style>
  <w:style w:type="paragraph" w:customStyle="1" w:styleId="ListAlpha2">
    <w:name w:val="List Alpha 2"/>
    <w:basedOn w:val="List2"/>
    <w:rsid w:val="004D7B42"/>
    <w:pPr>
      <w:numPr>
        <w:numId w:val="8"/>
      </w:numPr>
    </w:pPr>
  </w:style>
  <w:style w:type="paragraph" w:styleId="List2">
    <w:name w:val="List 2"/>
    <w:basedOn w:val="BodyText"/>
    <w:rsid w:val="004D7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B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B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B42"/>
    <w:pPr>
      <w:numPr>
        <w:numId w:val="4"/>
      </w:numPr>
    </w:pPr>
  </w:style>
  <w:style w:type="paragraph" w:styleId="ListContinue2">
    <w:name w:val="List Continue 2"/>
    <w:basedOn w:val="List2"/>
    <w:rsid w:val="004D7B42"/>
    <w:pPr>
      <w:ind w:firstLine="0"/>
    </w:pPr>
  </w:style>
  <w:style w:type="paragraph" w:styleId="ListContinue3">
    <w:name w:val="List Continue 3"/>
    <w:basedOn w:val="List3"/>
    <w:rsid w:val="004D7B42"/>
    <w:pPr>
      <w:ind w:left="1021" w:firstLine="0"/>
    </w:pPr>
  </w:style>
  <w:style w:type="paragraph" w:styleId="ListContinue4">
    <w:name w:val="List Continue 4"/>
    <w:basedOn w:val="List4"/>
    <w:rsid w:val="004D7B42"/>
    <w:pPr>
      <w:ind w:firstLine="0"/>
    </w:pPr>
  </w:style>
  <w:style w:type="paragraph" w:styleId="ListContinue5">
    <w:name w:val="List Continue 5"/>
    <w:basedOn w:val="List5"/>
    <w:rsid w:val="004D7B42"/>
    <w:pPr>
      <w:ind w:firstLine="0"/>
    </w:pPr>
  </w:style>
  <w:style w:type="paragraph" w:styleId="ListNumber3">
    <w:name w:val="List Number 3"/>
    <w:basedOn w:val="List3"/>
    <w:rsid w:val="004D7B42"/>
    <w:pPr>
      <w:numPr>
        <w:numId w:val="5"/>
      </w:numPr>
    </w:pPr>
  </w:style>
  <w:style w:type="paragraph" w:styleId="ListNumber4">
    <w:name w:val="List Number 4"/>
    <w:basedOn w:val="List4"/>
    <w:rsid w:val="004D7B42"/>
    <w:pPr>
      <w:numPr>
        <w:numId w:val="6"/>
      </w:numPr>
    </w:pPr>
  </w:style>
  <w:style w:type="paragraph" w:styleId="ListNumber5">
    <w:name w:val="List Number 5"/>
    <w:basedOn w:val="List5"/>
    <w:rsid w:val="004D7B42"/>
    <w:pPr>
      <w:numPr>
        <w:numId w:val="7"/>
      </w:numPr>
    </w:pPr>
  </w:style>
  <w:style w:type="paragraph" w:styleId="BlockText">
    <w:name w:val="Block Text"/>
    <w:basedOn w:val="Normal"/>
    <w:rsid w:val="004D7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B42"/>
    <w:rPr>
      <w:sz w:val="16"/>
      <w:vertAlign w:val="superscript"/>
    </w:rPr>
  </w:style>
  <w:style w:type="character" w:customStyle="1" w:styleId="Symbols">
    <w:name w:val="Symbols"/>
    <w:basedOn w:val="DefaultParagraphFont"/>
    <w:rsid w:val="004D7B42"/>
    <w:rPr>
      <w:rFonts w:ascii="Symbol" w:hAnsi="Symbol"/>
    </w:rPr>
  </w:style>
  <w:style w:type="character" w:customStyle="1" w:styleId="MenuOptions">
    <w:name w:val="Menu Options"/>
    <w:basedOn w:val="DefaultParagraphFont"/>
    <w:rsid w:val="004D7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B42"/>
    <w:rPr>
      <w:b/>
    </w:rPr>
  </w:style>
  <w:style w:type="character" w:customStyle="1" w:styleId="Underlined">
    <w:name w:val="Underlined"/>
    <w:basedOn w:val="DefaultParagraphFont"/>
    <w:rsid w:val="004D7B42"/>
    <w:rPr>
      <w:u w:val="single"/>
    </w:rPr>
  </w:style>
  <w:style w:type="paragraph" w:customStyle="1" w:styleId="TableBodyTextRight">
    <w:name w:val="Table Body Text Right"/>
    <w:basedOn w:val="TableBodyText"/>
    <w:rsid w:val="004D7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B42"/>
    <w:rPr>
      <w:sz w:val="18"/>
    </w:rPr>
  </w:style>
  <w:style w:type="paragraph" w:customStyle="1" w:styleId="BodySmallRight">
    <w:name w:val="Body Small Right"/>
    <w:basedOn w:val="BodyTextRight"/>
    <w:rsid w:val="004D7B42"/>
    <w:rPr>
      <w:sz w:val="18"/>
      <w:szCs w:val="18"/>
    </w:rPr>
  </w:style>
  <w:style w:type="paragraph" w:customStyle="1" w:styleId="MarginEdition">
    <w:name w:val="Margin Edition"/>
    <w:basedOn w:val="MarginNote"/>
    <w:rsid w:val="004D7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B42"/>
    <w:rPr>
      <w:sz w:val="2"/>
      <w:szCs w:val="2"/>
    </w:rPr>
  </w:style>
  <w:style w:type="character" w:customStyle="1" w:styleId="Small">
    <w:name w:val="Small"/>
    <w:basedOn w:val="DefaultParagraphFont"/>
    <w:rsid w:val="004D7B42"/>
    <w:rPr>
      <w:sz w:val="16"/>
    </w:rPr>
  </w:style>
  <w:style w:type="paragraph" w:customStyle="1" w:styleId="WideTable">
    <w:name w:val="Wide Table"/>
    <w:basedOn w:val="Normal"/>
    <w:rsid w:val="004D7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B42"/>
  </w:style>
  <w:style w:type="paragraph" w:styleId="Quote">
    <w:name w:val="Quote"/>
    <w:basedOn w:val="Heading1"/>
    <w:link w:val="QuoteChar"/>
    <w:qFormat/>
    <w:rsid w:val="004D7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B42"/>
    <w:pPr>
      <w:pageBreakBefore/>
    </w:pPr>
  </w:style>
  <w:style w:type="paragraph" w:customStyle="1" w:styleId="Border">
    <w:name w:val="Border"/>
    <w:basedOn w:val="Normal"/>
    <w:qFormat/>
    <w:rsid w:val="004D7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B42"/>
    <w:rPr>
      <w:u w:val="single"/>
    </w:rPr>
  </w:style>
  <w:style w:type="character" w:customStyle="1" w:styleId="BoldandItalics">
    <w:name w:val="Bold and Italics"/>
    <w:qFormat/>
    <w:rsid w:val="004D7B42"/>
    <w:rPr>
      <w:b/>
      <w:i/>
      <w:u w:val="none"/>
    </w:rPr>
  </w:style>
  <w:style w:type="paragraph" w:styleId="BalloonText">
    <w:name w:val="Balloon Text"/>
    <w:basedOn w:val="Normal"/>
    <w:link w:val="BalloonTextChar"/>
    <w:rsid w:val="004D7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B42"/>
    <w:pPr>
      <w:spacing w:before="0" w:after="0"/>
    </w:pPr>
  </w:style>
  <w:style w:type="paragraph" w:customStyle="1" w:styleId="BodyTextBold">
    <w:name w:val="Body Text Bold"/>
    <w:basedOn w:val="BodyText"/>
    <w:qFormat/>
    <w:rsid w:val="004D7B42"/>
    <w:rPr>
      <w:b/>
    </w:rPr>
  </w:style>
  <w:style w:type="character" w:styleId="Hyperlink">
    <w:name w:val="Hyperlink"/>
    <w:basedOn w:val="DefaultParagraphFont"/>
    <w:uiPriority w:val="99"/>
    <w:unhideWhenUsed/>
    <w:rsid w:val="00683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6999</Characters>
  <Application>Microsoft Office Word</Application>
  <DocSecurity>0</DocSecurity>
  <Lines>318</Lines>
  <Paragraphs>200</Paragraphs>
  <ScaleCrop>false</ScaleCrop>
  <Company>Author-it Software Corporation Ltd.</Company>
  <LinksUpToDate>false</LinksUpToDate>
  <CharactersWithSpaces>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TLILIC3008 Licence to operate a slewing mobile crane (up to 20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2021-02-16T01:29:00Z</dcterms:created>
  <dcterms:modified xsi:type="dcterms:W3CDTF">2021-02-16T01:29:00Z</dcterms:modified>
</cp:coreProperties>
</file>