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9F9" w:rsidP="00954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TLILIC3006 Licence to operate a non-slewing mobile crane (greater than 3 tonnes capacity)</w:t>
      </w:r>
      <w:r>
        <w:fldChar w:fldCharType="end"/>
      </w:r>
    </w:p>
    <w:p w:rsidR="009549F9" w:rsidP="009549F9">
      <w:pPr>
        <w:pStyle w:val="Version"/>
        <w:sectPr w:rsidSect="00CD2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E20" w:rsidP="00CD2E20">
      <w:pPr>
        <w:pStyle w:val="SuperHeading"/>
      </w:pPr>
      <w:r w:rsidRPr="00CD2E20">
        <w:t>TLILIC3006 Licence to operate a non-slewing mobile crane (greater than 3 tonnes capacity)</w:t>
      </w:r>
    </w:p>
    <w:p w:rsidR="00000000" w:rsidRPr="00CD2E20" w:rsidP="00CD2E20">
      <w:pPr>
        <w:pStyle w:val="Heading1"/>
      </w:pPr>
      <w:bookmarkStart w:id="1" w:name="O_829367"/>
      <w:bookmarkEnd w:id="1"/>
      <w:r w:rsidRPr="00CD2E20">
        <w:t>Modification History</w:t>
      </w:r>
    </w:p>
    <w:p w:rsidR="009549F9" w:rsidP="009549F9">
      <w:pPr>
        <w:pStyle w:val="BodyText"/>
      </w:pPr>
      <w:r w:rsidRPr="00CD2E20">
        <w:t>Release 1. This is the first release of this unit of competency in the TLI Transport and Logistics Training Package.</w:t>
      </w:r>
    </w:p>
    <w:p w:rsidR="00000000" w:rsidRPr="00CD2E20" w:rsidP="00CD2E20">
      <w:pPr>
        <w:pStyle w:val="Heading1"/>
      </w:pPr>
      <w:bookmarkStart w:id="2" w:name="O_829368"/>
      <w:bookmarkEnd w:id="2"/>
      <w:r w:rsidRPr="00CD2E20">
        <w:t>Application</w:t>
      </w:r>
    </w:p>
    <w:p w:rsidR="00000000" w:rsidRPr="00CD2E20" w:rsidP="009549F9">
      <w:pPr>
        <w:pStyle w:val="BodyText"/>
      </w:pPr>
      <w:r w:rsidRPr="00CD2E20">
        <w:t>This unit specifies the skills and knowledge required to operate a non-slewing mobile crane safely.</w:t>
      </w:r>
    </w:p>
    <w:p w:rsidR="00000000" w:rsidRPr="00CD2E20" w:rsidP="009549F9">
      <w:pPr>
        <w:pStyle w:val="BodyText"/>
      </w:pPr>
      <w:r w:rsidRPr="00CD2E20">
        <w:t>Non-slewing mobile crane means a mobile crane incorporating a boom or jib that cannot be slewed, and includes:</w:t>
      </w:r>
    </w:p>
    <w:p w:rsidR="00000000" w:rsidRPr="00CD2E20" w:rsidP="00CD2E20">
      <w:pPr>
        <w:pStyle w:val="ListBullet"/>
      </w:pPr>
      <w:r w:rsidRPr="00CD2E20">
        <w:t>an articulated mobile cr</w:t>
      </w:r>
      <w:r w:rsidRPr="00CD2E20">
        <w:t>ane</w:t>
      </w:r>
    </w:p>
    <w:p w:rsidR="00000000" w:rsidRPr="00CD2E20" w:rsidP="00CD2E20">
      <w:pPr>
        <w:pStyle w:val="ListBullet"/>
      </w:pPr>
      <w:r w:rsidRPr="00CD2E20">
        <w:t>a locomotive crane</w:t>
      </w:r>
    </w:p>
    <w:p w:rsidR="00000000" w:rsidRPr="00CD2E20" w:rsidP="009549F9">
      <w:pPr>
        <w:pStyle w:val="BodyText"/>
      </w:pPr>
      <w:r w:rsidRPr="00CD2E20">
        <w:t>but does not include vehicle tow trucks.</w:t>
      </w:r>
    </w:p>
    <w:p w:rsidR="00000000" w:rsidRPr="00CD2E20" w:rsidP="009549F9">
      <w:pPr>
        <w:pStyle w:val="BodyText"/>
      </w:pPr>
      <w:r w:rsidRPr="00CD2E20">
        <w:t>This unit applies to the activities of a person operating a non-slewing crane with a capacity exceeding 3 tonnes.</w:t>
      </w:r>
    </w:p>
    <w:p w:rsidR="00000000" w:rsidRPr="00CD2E20" w:rsidP="009549F9">
      <w:pPr>
        <w:pStyle w:val="BodyText"/>
      </w:pPr>
      <w:r w:rsidRPr="00CD2E20">
        <w:t>A person performing this work is required to hold a non-slewing mobile crane h</w:t>
      </w:r>
      <w:r w:rsidRPr="00CD2E20">
        <w:t>igh risk work (HRW) licence.</w:t>
      </w:r>
    </w:p>
    <w:p w:rsidR="00000000" w:rsidRPr="00CD2E20" w:rsidP="009549F9">
      <w:pPr>
        <w:pStyle w:val="BodyText"/>
      </w:pPr>
      <w:r w:rsidRPr="00CD2E20">
        <w:t xml:space="preserve">This unit requires a person operating non-slewing mobile crane to plan the work, conduct routine checks, set up crane, transfer load, mobile load and shut down and secure crane. </w:t>
      </w:r>
    </w:p>
    <w:p w:rsidR="00000000" w:rsidRPr="00CD2E20" w:rsidP="009549F9">
      <w:pPr>
        <w:pStyle w:val="Heading3"/>
      </w:pPr>
      <w:r w:rsidRPr="00CD2E20">
        <w:rPr>
          <w:rStyle w:val="SpecialBold"/>
        </w:rPr>
        <w:t>Licensing/Regulatory Information</w:t>
      </w:r>
    </w:p>
    <w:p w:rsidR="00000000" w:rsidRPr="00CD2E20" w:rsidP="009549F9">
      <w:pPr>
        <w:pStyle w:val="BodyText"/>
      </w:pPr>
      <w:r w:rsidRPr="00CD2E20">
        <w:t>This unit is ba</w:t>
      </w:r>
      <w:r w:rsidRPr="00CD2E20">
        <w:t xml:space="preserve">sed on the licensing requirements of Part 4.5 of the Model Work Health and Safety (WHS) Regulations, HRW and meets Commonwealth, state and territory HRW licensing requirements. </w:t>
      </w:r>
    </w:p>
    <w:p w:rsidR="009549F9" w:rsidP="009549F9">
      <w:pPr>
        <w:pStyle w:val="BodyText"/>
      </w:pPr>
      <w:r w:rsidRPr="00CD2E20">
        <w:t>Any alteration to this unit would result in a unit that would not be acceptabl</w:t>
      </w:r>
      <w:r w:rsidRPr="00CD2E20">
        <w:t>e to work health and safety (WHS)/occupational health and safety (OHS) regulators for the purpose of licensing.</w:t>
      </w:r>
    </w:p>
    <w:p w:rsidR="00000000" w:rsidRPr="00CD2E20" w:rsidP="00CD2E20">
      <w:pPr>
        <w:pStyle w:val="Heading1"/>
      </w:pPr>
      <w:bookmarkStart w:id="3" w:name="O_829369"/>
      <w:bookmarkEnd w:id="3"/>
      <w:r w:rsidRPr="00CD2E20">
        <w:t>Pre-requisite Unit</w:t>
      </w:r>
    </w:p>
    <w:p w:rsidR="009549F9" w:rsidP="009549F9">
      <w:pPr>
        <w:pStyle w:val="BodyText"/>
      </w:pPr>
      <w:r w:rsidRPr="00CD2E20">
        <w:t>Not applicable.</w:t>
      </w:r>
    </w:p>
    <w:p w:rsidR="00000000" w:rsidRPr="00CD2E20" w:rsidP="00CD2E20">
      <w:pPr>
        <w:pStyle w:val="Heading1"/>
      </w:pPr>
      <w:bookmarkStart w:id="4" w:name="O_829370"/>
      <w:bookmarkEnd w:id="4"/>
      <w:r w:rsidRPr="00CD2E20">
        <w:t>Competency Field</w:t>
      </w:r>
    </w:p>
    <w:p w:rsidR="009549F9" w:rsidP="009549F9">
      <w:pPr>
        <w:pStyle w:val="BodyText"/>
      </w:pPr>
      <w:r w:rsidRPr="00CD2E20">
        <w:t>LIC – Licensing</w:t>
      </w:r>
    </w:p>
    <w:p w:rsidR="00000000" w:rsidRPr="00CD2E20" w:rsidP="00CD2E20">
      <w:pPr>
        <w:pStyle w:val="Heading1"/>
      </w:pPr>
      <w:bookmarkStart w:id="5" w:name="O_829371"/>
      <w:bookmarkEnd w:id="5"/>
      <w:r w:rsidRPr="00CD2E20">
        <w:t>Unit Sector</w:t>
      </w:r>
    </w:p>
    <w:p w:rsidR="009549F9" w:rsidP="009549F9">
      <w:pPr>
        <w:pStyle w:val="BodyText"/>
      </w:pPr>
      <w:r w:rsidRPr="00CD2E20">
        <w:t>Not applicable.</w:t>
      </w:r>
    </w:p>
    <w:p w:rsidR="00000000" w:rsidRPr="00CD2E20" w:rsidP="00CD2E20">
      <w:pPr>
        <w:pStyle w:val="Heading1"/>
      </w:pPr>
      <w:bookmarkStart w:id="6" w:name="O_829372"/>
      <w:bookmarkEnd w:id="6"/>
      <w:r w:rsidRPr="00CD2E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PERFORMANCE CRITERIA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Performance criteria describe the performance needed to demonstrate achievement of the element.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Potential workplace hazards are identified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Hazard control measures are identified consistent with appropriate standards to ensure the safety of personnel and equipment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Weight of load is identified and estimated in consultation with associated personnel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 xml:space="preserve">Crane is appropriate to the load/s and workplace conditions 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Appropriate path for moving loads in work area is inspected and determined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Appropriate co</w:t>
            </w:r>
            <w:r w:rsidRPr="00CD2E20">
              <w:t>mmunications methods are identified in consultation with associated personnel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549F9" w:rsidP="00CD2E20">
            <w:pPr>
              <w:pStyle w:val="BodyText"/>
            </w:pPr>
            <w:r w:rsidRPr="00CD2E20">
              <w:rPr>
                <w:rStyle w:val="SpecialBold"/>
              </w:rPr>
              <w:t>Conduct routine checks</w:t>
            </w:r>
          </w:p>
          <w:p w:rsidR="009549F9" w:rsidP="00CD2E2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visually checked for any damage or defects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accessed in a safe manner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signage and labels are checked to ensure they are visible and legible in accordance with the appropriate standard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Routine pre-operational crane checks are carried out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controls are located and identified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service logbook is checked for compliance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started in accordance with procedures and is checked for any abnormal noises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crane safety devices are tested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Post-start operational checks are carried out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communications equipment is checked for serviceability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damage and defects are reported and recorded in accordance with procedures, and appropriate action is</w:t>
            </w:r>
            <w:r w:rsidRPr="00CD2E20">
              <w:t xml:space="preserve"> taken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Ground suitability is checked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driven to work area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positioned for work application and stability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Appropriate crane con</w:t>
            </w:r>
            <w:r w:rsidRPr="00CD2E20">
              <w:t xml:space="preserve">figuration for work task is determined in accordance with procedures 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Boom/jib and counterweight configuration data is input into crane computer as required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Appropriate hazard prevention/control measures are applied to work area in accordance</w:t>
            </w:r>
            <w:r w:rsidRPr="00CD2E20">
              <w:t xml:space="preserve">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communications equipment is tested for functionality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Lifts are determined within the capacity of the crane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Boom/jib and hoist block is positioned over load following directions from associated personnel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Test lift is carried out in accordance with procedures to allow for checks to be safely made, in consultation with relevant personnel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Loads are transferred using all relevant crane movements in accordance with procedures and the appropriate standard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All required communications signals are correctly interpreted in accordance with procedures and the appropriate standard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</w:t>
            </w:r>
            <w:r w:rsidRPr="00CD2E20">
              <w:t xml:space="preserve"> is operated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Load movement is monitored constantly, to ensure safety of personnel and load, and crane stability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Unplanned and/or unsafe situations are responded to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Suitability of planned route for crane is checked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configured to mobile load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Load is moved using best mobile practice in accordance with the appropriate standard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boom/jib and equipment are stowed and secured as required, in accordance with procedures and the appropriate standard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Relevant motion locks and brakes are applied as required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 xml:space="preserve">Outriggers/stabilisers are stowed and secured as required in accordance with procedures 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Crane is shut down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Routine post-operational crane checks are carried out in accordance with procedures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Plates or pac</w:t>
            </w:r>
            <w:r w:rsidRPr="00CD2E20">
              <w:t>king are stowed and secured as required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t>All damage and defects are recorded and reported in accordance with procedures, and appropriate action is taken</w:t>
            </w:r>
          </w:p>
        </w:tc>
      </w:tr>
    </w:tbl>
    <w:p w:rsidR="009549F9" w:rsidP="00CD2E20">
      <w:pPr>
        <w:pStyle w:val="BodyText"/>
      </w:pPr>
    </w:p>
    <w:p w:rsidR="009549F9" w:rsidP="00CD2E20">
      <w:pPr>
        <w:pStyle w:val="BodyText"/>
      </w:pPr>
    </w:p>
    <w:p w:rsidR="00000000" w:rsidRPr="00CD2E20" w:rsidP="00CD2E20">
      <w:pPr>
        <w:pStyle w:val="Heading1"/>
      </w:pPr>
      <w:bookmarkStart w:id="7" w:name="O_829373"/>
      <w:bookmarkEnd w:id="7"/>
      <w:r w:rsidRPr="00CD2E20">
        <w:t>Foundation Skills</w:t>
      </w:r>
    </w:p>
    <w:p w:rsidR="00000000" w:rsidRPr="00CD2E20" w:rsidP="009549F9">
      <w:pPr>
        <w:pStyle w:val="BodyText"/>
      </w:pPr>
      <w:r w:rsidRPr="00CD2E20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32"/>
        <w:gridCol w:w="7364"/>
      </w:tblGrid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BodyText"/>
            </w:pPr>
            <w:r w:rsidRPr="00CD2E2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rPr>
                <w:rStyle w:val="SpecialBold"/>
              </w:rPr>
              <w:t>Performance feature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>operate a non-slewing mobile crane (greater than 3 tonnes capacit</w:t>
            </w:r>
            <w:r w:rsidRPr="00CD2E20">
              <w:t>y) in different types of workplaces transferring key principles of safe operation to different contexts</w:t>
            </w:r>
          </w:p>
          <w:p w:rsidR="00000000" w:rsidP="00CD2E20">
            <w:pPr>
              <w:pStyle w:val="ListBullet"/>
              <w:rPr>
                <w:lang w:val="en-NZ"/>
              </w:rPr>
            </w:pPr>
            <w:r w:rsidRPr="00CD2E20">
              <w:t>improve own performance in safely and efficiently operating a non-slewing mobile crane (greater than 3 tonnes capacity) by incorporating learnings from different workplaces and different conditions into current performance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>interpret n</w:t>
            </w:r>
            <w:r w:rsidRPr="00CD2E20">
              <w:t>umerical information including:</w:t>
            </w:r>
          </w:p>
          <w:p w:rsidR="00000000" w:rsidRPr="00CD2E20" w:rsidP="00CD2E20">
            <w:pPr>
              <w:pStyle w:val="ListBullet2"/>
            </w:pPr>
            <w:r w:rsidRPr="00CD2E20">
              <w:t>selecting appropriate non-slewing mobile crane (greater than 3 tonnes capacity) in accordance with load and workplace conditions</w:t>
            </w:r>
          </w:p>
          <w:p w:rsidR="00000000" w:rsidRPr="00CD2E20" w:rsidP="00CD2E20">
            <w:pPr>
              <w:pStyle w:val="ListBullet2"/>
            </w:pPr>
            <w:r w:rsidRPr="00CD2E20">
              <w:t>load weight assessment, to ensure compliance with non-slewing mobile crane (greater than 3 ton</w:t>
            </w:r>
            <w:r w:rsidRPr="00CD2E20">
              <w:t xml:space="preserve">nes capacity) data plate specifications </w:t>
            </w:r>
          </w:p>
          <w:p w:rsidR="00000000" w:rsidP="00CD2E20">
            <w:pPr>
              <w:pStyle w:val="ListBullet2"/>
              <w:rPr>
                <w:lang w:val="en-NZ"/>
              </w:rPr>
            </w:pPr>
            <w:r w:rsidRPr="00CD2E20">
              <w:t>controlling and monitoring instrument readings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 xml:space="preserve">use and interpret vocabulary specific to non-slewing mobile crane (greater than </w:t>
            </w:r>
            <w:r w:rsidRPr="00CD2E20">
              <w:t>3 tonnes capacity) operations and workplace procedures to communicate with other workplace personnel</w:t>
            </w:r>
          </w:p>
          <w:p w:rsidR="00000000" w:rsidRPr="00CD2E20" w:rsidP="00CD2E20">
            <w:pPr>
              <w:pStyle w:val="ListBullet"/>
            </w:pPr>
            <w:r w:rsidRPr="00CD2E20">
              <w:t>use non-verbal feedback to support effective communication</w:t>
            </w:r>
          </w:p>
          <w:p w:rsidR="00000000" w:rsidP="00CD2E20">
            <w:pPr>
              <w:pStyle w:val="ListBullet"/>
              <w:rPr>
                <w:lang w:val="en-NZ"/>
              </w:rPr>
            </w:pPr>
            <w:r w:rsidRPr="00CD2E20">
              <w:t xml:space="preserve">use relevant two-way radio conventions 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>interpret documentation</w:t>
            </w:r>
            <w:r w:rsidRPr="00CD2E20">
              <w:t xml:space="preserve"> that includes technical specificity including:</w:t>
            </w:r>
          </w:p>
          <w:p w:rsidR="00000000" w:rsidRPr="00CD2E20" w:rsidP="00CD2E20">
            <w:pPr>
              <w:pStyle w:val="ListBullet2"/>
            </w:pPr>
            <w:r w:rsidRPr="00CD2E20">
              <w:t>non-slewing mobile crane (greater than 3 tonnes capacity) data plate</w:t>
            </w:r>
          </w:p>
          <w:p w:rsidR="00000000" w:rsidRPr="00CD2E20" w:rsidP="00CD2E20">
            <w:pPr>
              <w:pStyle w:val="ListBullet2"/>
            </w:pPr>
            <w:r w:rsidRPr="00CD2E20">
              <w:t>plant operation manuals and manufacturer specifications</w:t>
            </w:r>
          </w:p>
          <w:p w:rsidR="00000000" w:rsidRPr="00CD2E20" w:rsidP="00CD2E20">
            <w:pPr>
              <w:pStyle w:val="ListBullet2"/>
            </w:pPr>
            <w:r w:rsidRPr="00CD2E20">
              <w:t>workplace procedures, including emergency plan</w:t>
            </w:r>
          </w:p>
          <w:p w:rsidR="00000000" w:rsidP="00CD2E20">
            <w:pPr>
              <w:pStyle w:val="ListBullet2"/>
              <w:rPr>
                <w:lang w:val="en-NZ"/>
              </w:rPr>
            </w:pPr>
            <w:r w:rsidRPr="00CD2E20">
              <w:t>workplace signage and labels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>accurately record and maintain information relating to operating a non-slewing mobile crane (greater than 3 tonnes capacity), including:</w:t>
            </w:r>
          </w:p>
          <w:p w:rsidR="00000000" w:rsidRPr="00CD2E20" w:rsidP="00CD2E20">
            <w:pPr>
              <w:pStyle w:val="ListBullet2"/>
            </w:pPr>
            <w:r w:rsidRPr="00CD2E20">
              <w:t>incident reports</w:t>
            </w:r>
          </w:p>
          <w:p w:rsidR="00000000" w:rsidP="00CD2E20">
            <w:pPr>
              <w:pStyle w:val="ListBullet2"/>
              <w:rPr>
                <w:lang w:val="en-NZ"/>
              </w:rPr>
            </w:pPr>
            <w:r w:rsidRPr="00CD2E20">
              <w:t>vehicle checking and maintenance records</w:t>
            </w:r>
          </w:p>
        </w:tc>
      </w:tr>
      <w:tr w:rsidTr="009549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20">
            <w:pPr>
              <w:pStyle w:val="BodyText"/>
              <w:rPr>
                <w:lang w:val="en-NZ"/>
              </w:rPr>
            </w:pPr>
            <w:r w:rsidRPr="00CD2E20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20" w:rsidP="00CD2E20">
            <w:pPr>
              <w:pStyle w:val="ListBullet"/>
            </w:pPr>
            <w:r w:rsidRPr="00CD2E20">
              <w:t xml:space="preserve">implement risk control measures </w:t>
            </w:r>
          </w:p>
          <w:p w:rsidR="00000000" w:rsidRPr="00CD2E20" w:rsidP="00CD2E20">
            <w:pPr>
              <w:pStyle w:val="ListBullet"/>
            </w:pPr>
            <w:r w:rsidRPr="00CD2E20">
              <w:t>initiate emergency management strategies</w:t>
            </w:r>
          </w:p>
        </w:tc>
      </w:tr>
    </w:tbl>
    <w:p w:rsidR="00000000" w:rsidRPr="00CD2E20" w:rsidP="00CD2E20">
      <w:pPr>
        <w:pStyle w:val="BodyText"/>
      </w:pPr>
    </w:p>
    <w:p w:rsidR="00000000" w:rsidRPr="00CD2E20" w:rsidP="00CD2E20">
      <w:pPr>
        <w:pStyle w:val="AllowPageBreak"/>
      </w:pPr>
    </w:p>
    <w:p w:rsidR="00000000" w:rsidRPr="00CD2E20" w:rsidP="00CD2E20">
      <w:pPr>
        <w:pStyle w:val="Heading1"/>
      </w:pPr>
      <w:bookmarkStart w:id="8" w:name="O_829374"/>
      <w:bookmarkEnd w:id="8"/>
      <w:r w:rsidRPr="00CD2E20">
        <w:t>Range of Conditions</w:t>
      </w:r>
    </w:p>
    <w:p w:rsidR="00000000" w:rsidRPr="00CD2E20" w:rsidP="009549F9">
      <w:pPr>
        <w:pStyle w:val="BodyText"/>
      </w:pPr>
      <w:r w:rsidRPr="00CD2E20">
        <w:t>Range is restricted to essential operating conditions and any other variables essential to the work environment.</w:t>
      </w:r>
    </w:p>
    <w:p w:rsidR="009549F9" w:rsidP="009549F9">
      <w:pPr>
        <w:pStyle w:val="BodyText"/>
      </w:pPr>
      <w:r w:rsidRPr="00CD2E20">
        <w:t>Non-essential conditions can be found in the Companion Volume Implementation Guide.</w:t>
      </w:r>
    </w:p>
    <w:p w:rsidR="00000000" w:rsidRPr="00CD2E20" w:rsidP="00CD2E20">
      <w:pPr>
        <w:pStyle w:val="Heading1"/>
      </w:pPr>
      <w:bookmarkStart w:id="9" w:name="O_829375"/>
      <w:bookmarkEnd w:id="9"/>
      <w:r w:rsidRPr="00CD2E20">
        <w:t>Unit Mapping Information</w:t>
      </w:r>
    </w:p>
    <w:p w:rsidR="009549F9" w:rsidP="009549F9">
      <w:pPr>
        <w:pStyle w:val="BodyText"/>
      </w:pPr>
      <w:r w:rsidRPr="00CD2E20">
        <w:t>This unit is equivalent to TLILIC3006A Licence to operate a non-slewing mobile crane (greater than 3 tonnes capacity).</w:t>
      </w:r>
    </w:p>
    <w:p w:rsidR="00000000" w:rsidRPr="00CD2E20" w:rsidP="00CD2E20">
      <w:pPr>
        <w:pStyle w:val="Heading1"/>
      </w:pPr>
      <w:bookmarkStart w:id="10" w:name="O_829382"/>
      <w:bookmarkEnd w:id="10"/>
      <w:r w:rsidRPr="00CD2E20">
        <w:t>Links</w:t>
      </w:r>
    </w:p>
    <w:p w:rsidR="00000000" w:rsidRPr="00CD2E20" w:rsidP="009549F9">
      <w:pPr>
        <w:pStyle w:val="BodyText"/>
      </w:pPr>
      <w:r w:rsidRPr="00CD2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0E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2E20" w:rsidP="00CD2E20"/>
    <w:sectPr w:rsidSect="00CD2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20" w:rsidRPr="009549F9" w:rsidP="00954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F9" w:rsidP="00CD2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9F9" w:rsidP="00CD2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49F9" w:rsidP="00CD2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E20" w:rsidRPr="009549F9" w:rsidP="00954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F9" w:rsidRPr="002D2AF8" w:rsidP="00CD2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TLILIC3006 Licence to operate a non-slewing mobile crane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9549F9" w:rsidP="00CD2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CC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89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22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E20"/>
  </w:style>
  <w:style w:type="character" w:customStyle="1" w:styleId="Heading1Char">
    <w:name w:val="Heading 1 Char"/>
    <w:basedOn w:val="DefaultParagraphFont"/>
    <w:link w:val="Heading1"/>
    <w:rsid w:val="00CD2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E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E20"/>
    <w:rPr>
      <w:b/>
      <w:spacing w:val="0"/>
    </w:rPr>
  </w:style>
  <w:style w:type="paragraph" w:styleId="ListBullet2">
    <w:name w:val="List Bullet 2"/>
    <w:basedOn w:val="List2"/>
    <w:rsid w:val="00CD2E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2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E20"/>
    <w:rPr>
      <w:i/>
    </w:rPr>
  </w:style>
  <w:style w:type="paragraph" w:styleId="Caption">
    <w:name w:val="caption"/>
    <w:basedOn w:val="BodyText"/>
    <w:next w:val="Normal"/>
    <w:qFormat/>
    <w:rsid w:val="00CD2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E20"/>
  </w:style>
  <w:style w:type="paragraph" w:styleId="TableofFigures">
    <w:name w:val="table of figures"/>
    <w:basedOn w:val="Normal"/>
    <w:next w:val="Normal"/>
    <w:semiHidden/>
    <w:rsid w:val="00CD2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E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E20"/>
    <w:rPr>
      <w:rFonts w:ascii="Wingdings" w:hAnsi="Wingdings"/>
    </w:rPr>
  </w:style>
  <w:style w:type="paragraph" w:customStyle="1" w:styleId="TableHeading">
    <w:name w:val="Table Heading"/>
    <w:basedOn w:val="HeadingBase"/>
    <w:rsid w:val="00CD2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E20"/>
    <w:rPr>
      <w:color w:val="0033CC"/>
      <w:u w:val="none"/>
    </w:rPr>
  </w:style>
  <w:style w:type="paragraph" w:customStyle="1" w:styleId="BodyTextRight">
    <w:name w:val="Body Text Right"/>
    <w:basedOn w:val="BodyText"/>
    <w:rsid w:val="00CD2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E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E20"/>
    <w:rPr>
      <w:sz w:val="32"/>
    </w:rPr>
  </w:style>
  <w:style w:type="paragraph" w:customStyle="1" w:styleId="HeadingProcedure">
    <w:name w:val="Heading Procedure"/>
    <w:basedOn w:val="HeadingBase"/>
    <w:next w:val="Normal"/>
    <w:rsid w:val="00CD2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E20"/>
    <w:pPr>
      <w:spacing w:before="60" w:after="60"/>
    </w:pPr>
  </w:style>
  <w:style w:type="paragraph" w:styleId="ListContinue">
    <w:name w:val="List Continue"/>
    <w:basedOn w:val="List"/>
    <w:rsid w:val="00CD2E20"/>
    <w:pPr>
      <w:ind w:firstLine="0"/>
    </w:pPr>
  </w:style>
  <w:style w:type="paragraph" w:customStyle="1" w:styleId="ListNote">
    <w:name w:val="List Note"/>
    <w:basedOn w:val="List"/>
    <w:rsid w:val="00CD2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E20"/>
    <w:rPr>
      <w:rFonts w:ascii="Courier New" w:hAnsi="Courier New"/>
    </w:rPr>
  </w:style>
  <w:style w:type="paragraph" w:customStyle="1" w:styleId="NoteBullet">
    <w:name w:val="Note Bullet"/>
    <w:basedOn w:val="Note"/>
    <w:rsid w:val="00CD2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E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E20"/>
    <w:rPr>
      <w:b/>
      <w:smallCaps/>
    </w:rPr>
  </w:style>
  <w:style w:type="paragraph" w:customStyle="1" w:styleId="TableListNumber">
    <w:name w:val="Table List Number"/>
    <w:basedOn w:val="ListNumber"/>
    <w:rsid w:val="00CD2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E20"/>
    <w:pPr>
      <w:numPr>
        <w:numId w:val="9"/>
      </w:numPr>
    </w:pPr>
  </w:style>
  <w:style w:type="paragraph" w:customStyle="1" w:styleId="ListAlpha2">
    <w:name w:val="List Alpha 2"/>
    <w:basedOn w:val="List2"/>
    <w:rsid w:val="00CD2E20"/>
    <w:pPr>
      <w:numPr>
        <w:numId w:val="8"/>
      </w:numPr>
    </w:pPr>
  </w:style>
  <w:style w:type="paragraph" w:styleId="List2">
    <w:name w:val="List 2"/>
    <w:basedOn w:val="BodyText"/>
    <w:rsid w:val="00CD2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E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E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E20"/>
    <w:pPr>
      <w:numPr>
        <w:numId w:val="4"/>
      </w:numPr>
    </w:pPr>
  </w:style>
  <w:style w:type="paragraph" w:styleId="ListContinue2">
    <w:name w:val="List Continue 2"/>
    <w:basedOn w:val="List2"/>
    <w:rsid w:val="00CD2E20"/>
    <w:pPr>
      <w:ind w:firstLine="0"/>
    </w:pPr>
  </w:style>
  <w:style w:type="paragraph" w:styleId="ListContinue3">
    <w:name w:val="List Continue 3"/>
    <w:basedOn w:val="List3"/>
    <w:rsid w:val="00CD2E20"/>
    <w:pPr>
      <w:ind w:left="1021" w:firstLine="0"/>
    </w:pPr>
  </w:style>
  <w:style w:type="paragraph" w:styleId="ListContinue4">
    <w:name w:val="List Continue 4"/>
    <w:basedOn w:val="List4"/>
    <w:rsid w:val="00CD2E20"/>
    <w:pPr>
      <w:ind w:firstLine="0"/>
    </w:pPr>
  </w:style>
  <w:style w:type="paragraph" w:styleId="ListContinue5">
    <w:name w:val="List Continue 5"/>
    <w:basedOn w:val="List5"/>
    <w:rsid w:val="00CD2E20"/>
    <w:pPr>
      <w:ind w:firstLine="0"/>
    </w:pPr>
  </w:style>
  <w:style w:type="paragraph" w:styleId="ListNumber3">
    <w:name w:val="List Number 3"/>
    <w:basedOn w:val="List3"/>
    <w:rsid w:val="00CD2E20"/>
    <w:pPr>
      <w:numPr>
        <w:numId w:val="5"/>
      </w:numPr>
    </w:pPr>
  </w:style>
  <w:style w:type="paragraph" w:styleId="ListNumber4">
    <w:name w:val="List Number 4"/>
    <w:basedOn w:val="List4"/>
    <w:rsid w:val="00CD2E20"/>
    <w:pPr>
      <w:numPr>
        <w:numId w:val="6"/>
      </w:numPr>
    </w:pPr>
  </w:style>
  <w:style w:type="paragraph" w:styleId="ListNumber5">
    <w:name w:val="List Number 5"/>
    <w:basedOn w:val="List5"/>
    <w:rsid w:val="00CD2E20"/>
    <w:pPr>
      <w:numPr>
        <w:numId w:val="7"/>
      </w:numPr>
    </w:pPr>
  </w:style>
  <w:style w:type="paragraph" w:styleId="BlockText">
    <w:name w:val="Block Text"/>
    <w:basedOn w:val="Normal"/>
    <w:rsid w:val="00CD2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E20"/>
    <w:rPr>
      <w:sz w:val="16"/>
      <w:vertAlign w:val="superscript"/>
    </w:rPr>
  </w:style>
  <w:style w:type="character" w:customStyle="1" w:styleId="Symbols">
    <w:name w:val="Symbols"/>
    <w:basedOn w:val="DefaultParagraphFont"/>
    <w:rsid w:val="00CD2E20"/>
    <w:rPr>
      <w:rFonts w:ascii="Symbol" w:hAnsi="Symbol"/>
    </w:rPr>
  </w:style>
  <w:style w:type="character" w:customStyle="1" w:styleId="MenuOptions">
    <w:name w:val="Menu Options"/>
    <w:basedOn w:val="DefaultParagraphFont"/>
    <w:rsid w:val="00CD2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E20"/>
    <w:rPr>
      <w:b/>
    </w:rPr>
  </w:style>
  <w:style w:type="character" w:customStyle="1" w:styleId="Underlined">
    <w:name w:val="Underlined"/>
    <w:basedOn w:val="DefaultParagraphFont"/>
    <w:rsid w:val="00CD2E20"/>
    <w:rPr>
      <w:u w:val="single"/>
    </w:rPr>
  </w:style>
  <w:style w:type="paragraph" w:customStyle="1" w:styleId="TableBodyTextRight">
    <w:name w:val="Table Body Text Right"/>
    <w:basedOn w:val="TableBodyText"/>
    <w:rsid w:val="00CD2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E20"/>
    <w:rPr>
      <w:sz w:val="18"/>
    </w:rPr>
  </w:style>
  <w:style w:type="paragraph" w:customStyle="1" w:styleId="BodySmallRight">
    <w:name w:val="Body Small Right"/>
    <w:basedOn w:val="BodyTextRight"/>
    <w:rsid w:val="00CD2E20"/>
    <w:rPr>
      <w:sz w:val="18"/>
      <w:szCs w:val="18"/>
    </w:rPr>
  </w:style>
  <w:style w:type="paragraph" w:customStyle="1" w:styleId="MarginEdition">
    <w:name w:val="Margin Edition"/>
    <w:basedOn w:val="MarginNote"/>
    <w:rsid w:val="00CD2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E20"/>
    <w:rPr>
      <w:sz w:val="2"/>
      <w:szCs w:val="2"/>
    </w:rPr>
  </w:style>
  <w:style w:type="character" w:customStyle="1" w:styleId="Small">
    <w:name w:val="Small"/>
    <w:basedOn w:val="DefaultParagraphFont"/>
    <w:rsid w:val="00CD2E20"/>
    <w:rPr>
      <w:sz w:val="16"/>
    </w:rPr>
  </w:style>
  <w:style w:type="paragraph" w:customStyle="1" w:styleId="WideTable">
    <w:name w:val="Wide Table"/>
    <w:basedOn w:val="Normal"/>
    <w:rsid w:val="00CD2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E20"/>
  </w:style>
  <w:style w:type="paragraph" w:styleId="Quote">
    <w:name w:val="Quote"/>
    <w:basedOn w:val="Heading1"/>
    <w:link w:val="QuoteChar"/>
    <w:qFormat/>
    <w:rsid w:val="00CD2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E20"/>
    <w:pPr>
      <w:pageBreakBefore/>
    </w:pPr>
  </w:style>
  <w:style w:type="paragraph" w:customStyle="1" w:styleId="Border">
    <w:name w:val="Border"/>
    <w:basedOn w:val="Normal"/>
    <w:qFormat/>
    <w:rsid w:val="00CD2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E20"/>
    <w:rPr>
      <w:u w:val="single"/>
    </w:rPr>
  </w:style>
  <w:style w:type="character" w:customStyle="1" w:styleId="BoldandItalics">
    <w:name w:val="Bold and Italics"/>
    <w:qFormat/>
    <w:rsid w:val="00CD2E20"/>
    <w:rPr>
      <w:b/>
      <w:i/>
      <w:u w:val="none"/>
    </w:rPr>
  </w:style>
  <w:style w:type="paragraph" w:styleId="BalloonText">
    <w:name w:val="Balloon Text"/>
    <w:basedOn w:val="Normal"/>
    <w:link w:val="BalloonTextChar"/>
    <w:rsid w:val="00CD2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E20"/>
    <w:pPr>
      <w:spacing w:before="0" w:after="0"/>
    </w:pPr>
  </w:style>
  <w:style w:type="paragraph" w:customStyle="1" w:styleId="BodyTextBold">
    <w:name w:val="Body Text Bold"/>
    <w:basedOn w:val="BodyText"/>
    <w:qFormat/>
    <w:rsid w:val="00CD2E20"/>
    <w:rPr>
      <w:b/>
    </w:rPr>
  </w:style>
  <w:style w:type="character" w:styleId="Hyperlink">
    <w:name w:val="Hyperlink"/>
    <w:basedOn w:val="DefaultParagraphFont"/>
    <w:uiPriority w:val="99"/>
    <w:unhideWhenUsed/>
    <w:rsid w:val="00954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6910</Characters>
  <Application>Microsoft Office Word</Application>
  <DocSecurity>0</DocSecurity>
  <Lines>314</Lines>
  <Paragraphs>192</Paragraphs>
  <ScaleCrop>false</ScaleCrop>
  <Company>Author-it Software Corporation Ltd.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TLILIC3006 Licence to operate a non-slewing mobile crane (greater than 3 tonnes capacity)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2021-02-16T01:31:00Z</dcterms:created>
  <dcterms:modified xsi:type="dcterms:W3CDTF">2021-02-16T01:31:00Z</dcterms:modified>
</cp:coreProperties>
</file>