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5FE" w:rsidP="00F565FE">
      <w:pPr>
        <w:pStyle w:val="Title"/>
      </w:pPr>
      <w:r>
        <w:fldChar w:fldCharType="begin"/>
      </w:r>
      <w:r>
        <w:instrText xml:space="preserve"> TITLE   \* MERGEFORMAT </w:instrText>
      </w:r>
      <w:r>
        <w:fldChar w:fldCharType="separate"/>
      </w:r>
      <w:r>
        <w:t>Assessment Requirements for TLILIC3003 Licence to operate a bridge and gantry crane</w:t>
      </w:r>
      <w:r>
        <w:fldChar w:fldCharType="end"/>
      </w:r>
    </w:p>
    <w:p w:rsidR="00F565FE" w:rsidP="00F565FE">
      <w:pPr>
        <w:pStyle w:val="Version"/>
        <w:sectPr w:rsidSect="00AD1A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A97" w:rsidP="00AD1A97">
      <w:pPr>
        <w:pStyle w:val="SuperHeading"/>
      </w:pPr>
      <w:r w:rsidRPr="00AD1A97">
        <w:t>Assessment Requirements for TLILIC3003 Licence to operate a bridge and gantry crane</w:t>
      </w:r>
    </w:p>
    <w:p w:rsidR="00000000" w:rsidRPr="00AD1A97" w:rsidP="00AD1A97">
      <w:pPr>
        <w:pStyle w:val="Heading1"/>
      </w:pPr>
      <w:bookmarkStart w:id="1" w:name="O_829305"/>
      <w:bookmarkEnd w:id="1"/>
      <w:r w:rsidRPr="00AD1A97">
        <w:t>Modification History</w:t>
      </w:r>
    </w:p>
    <w:p w:rsidR="00F565FE" w:rsidP="00AD1A97">
      <w:pPr>
        <w:pStyle w:val="BodyText"/>
      </w:pPr>
      <w:r w:rsidRPr="00AD1A97">
        <w:t>Release 1. This is the first release of this unit of competency in the TLI Transport and Logistics Training Package.</w:t>
      </w:r>
    </w:p>
    <w:p w:rsidR="00F565FE" w:rsidP="00AD1A97">
      <w:pPr>
        <w:pStyle w:val="BodyText"/>
      </w:pPr>
    </w:p>
    <w:p w:rsidR="00000000" w:rsidRPr="00AD1A97" w:rsidP="00AD1A97">
      <w:pPr>
        <w:pStyle w:val="Heading1"/>
      </w:pPr>
      <w:bookmarkStart w:id="2" w:name="O_829306"/>
      <w:bookmarkEnd w:id="2"/>
      <w:r w:rsidRPr="00AD1A97">
        <w:t>Performance Evidence</w:t>
      </w:r>
    </w:p>
    <w:tbl>
      <w:tblPr>
        <w:tblW w:w="0" w:type="auto"/>
        <w:tblCellMar>
          <w:left w:w="62" w:type="dxa"/>
          <w:right w:w="62" w:type="dxa"/>
        </w:tblCellMar>
        <w:tblLook w:val="0000"/>
      </w:tblPr>
      <w:tblGrid>
        <w:gridCol w:w="9196"/>
      </w:tblGrid>
      <w:tr w:rsidTr="00F565F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D1A97">
            <w:pPr>
              <w:pStyle w:val="BodyText"/>
              <w:rPr>
                <w:lang w:val="en-NZ"/>
              </w:rPr>
            </w:pPr>
            <w:r w:rsidRPr="00AD1A97">
              <w:t>A person who demonstrates competency in this unit must provide evidence safely operating a bridge and gantry crane and satisfy all of the elements, performance criteria and foundation skills requirements of the unit on at least</w:t>
            </w:r>
            <w:r w:rsidRPr="00AD1A97">
              <w:t xml:space="preserve"> one occasion including:</w:t>
            </w:r>
          </w:p>
        </w:tc>
      </w:tr>
      <w:tr w:rsidTr="00F565FE">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AD1A97" w:rsidP="00AD1A97">
            <w:pPr>
              <w:pStyle w:val="ListBullet"/>
            </w:pPr>
            <w:r w:rsidRPr="00AD1A97">
              <w:t>applying appropriate mathematical procedures to estimate loads</w:t>
            </w:r>
          </w:p>
          <w:p w:rsidR="00000000" w:rsidRPr="00AD1A97" w:rsidP="00AD1A97">
            <w:pPr>
              <w:pStyle w:val="ListBullet"/>
            </w:pPr>
            <w:r w:rsidRPr="00AD1A97">
              <w:t>applying hazard prevention/control measures including:</w:t>
            </w:r>
          </w:p>
          <w:p w:rsidR="00000000" w:rsidRPr="00AD1A97" w:rsidP="00AD1A97">
            <w:pPr>
              <w:pStyle w:val="ListBullet2"/>
            </w:pPr>
            <w:r w:rsidRPr="00AD1A97">
              <w:t>adequate illumination</w:t>
            </w:r>
          </w:p>
          <w:p w:rsidR="00000000" w:rsidRPr="00AD1A97" w:rsidP="00AD1A97">
            <w:pPr>
              <w:pStyle w:val="ListBullet2"/>
            </w:pPr>
            <w:r w:rsidRPr="00AD1A97">
              <w:t>disconnected power</w:t>
            </w:r>
          </w:p>
          <w:p w:rsidR="00000000" w:rsidRPr="00AD1A97" w:rsidP="00AD1A97">
            <w:pPr>
              <w:pStyle w:val="ListBullet2"/>
            </w:pPr>
            <w:r w:rsidRPr="00AD1A97">
              <w:t>insulated electric lines</w:t>
            </w:r>
          </w:p>
          <w:p w:rsidR="00000000" w:rsidRPr="00AD1A97" w:rsidP="00AD1A97">
            <w:pPr>
              <w:pStyle w:val="ListBullet2"/>
            </w:pPr>
            <w:r w:rsidRPr="00AD1A97">
              <w:t>moving obstructions</w:t>
            </w:r>
          </w:p>
          <w:p w:rsidR="00000000" w:rsidRPr="00AD1A97" w:rsidP="00AD1A97">
            <w:pPr>
              <w:pStyle w:val="ListBullet2"/>
            </w:pPr>
            <w:r w:rsidRPr="00AD1A97">
              <w:t>pedestrian barricades</w:t>
            </w:r>
          </w:p>
          <w:p w:rsidR="00000000" w:rsidRPr="00AD1A97" w:rsidP="00AD1A97">
            <w:pPr>
              <w:pStyle w:val="ListBullet2"/>
            </w:pPr>
            <w:r w:rsidRPr="00AD1A97">
              <w:t>personal protective equipment</w:t>
            </w:r>
          </w:p>
          <w:p w:rsidR="00000000" w:rsidRPr="00AD1A97" w:rsidP="00AD1A97">
            <w:pPr>
              <w:pStyle w:val="ListBullet2"/>
            </w:pPr>
            <w:r w:rsidRPr="00AD1A97">
              <w:t>safety tags on electrical switches/isolators</w:t>
            </w:r>
          </w:p>
          <w:p w:rsidR="00000000" w:rsidRPr="00AD1A97" w:rsidP="00AD1A97">
            <w:pPr>
              <w:pStyle w:val="ListBullet2"/>
            </w:pPr>
            <w:r w:rsidRPr="00AD1A97">
              <w:t>using safety observer inside exclusion zone</w:t>
            </w:r>
          </w:p>
          <w:p w:rsidR="00000000" w:rsidRPr="00AD1A97" w:rsidP="00AD1A97">
            <w:pPr>
              <w:pStyle w:val="ListBullet2"/>
            </w:pPr>
            <w:r w:rsidRPr="00AD1A97">
              <w:t>traffic barricades and control</w:t>
            </w:r>
          </w:p>
          <w:p w:rsidR="00000000" w:rsidRPr="00AD1A97" w:rsidP="00AD1A97">
            <w:pPr>
              <w:pStyle w:val="ListBullet"/>
            </w:pPr>
            <w:r w:rsidRPr="00AD1A97">
              <w:t xml:space="preserve">applying risk assessment and hazard control strategies, including hierarchy of control as applied to the </w:t>
            </w:r>
            <w:r w:rsidRPr="00AD1A97">
              <w:t xml:space="preserve">safe operation of the crane </w:t>
            </w:r>
          </w:p>
          <w:p w:rsidR="00000000" w:rsidRPr="00AD1A97" w:rsidP="00AD1A97">
            <w:pPr>
              <w:pStyle w:val="ListBullet"/>
            </w:pPr>
            <w:r w:rsidRPr="00AD1A97">
              <w:t xml:space="preserve">applying risk assessment and management procedures </w:t>
            </w:r>
          </w:p>
          <w:p w:rsidR="00000000" w:rsidRPr="00AD1A97" w:rsidP="00AD1A97">
            <w:pPr>
              <w:pStyle w:val="ListBullet"/>
            </w:pPr>
            <w:r w:rsidRPr="00AD1A97">
              <w:t>completing pre- and post-operational checks of a bridge and gantry crane</w:t>
            </w:r>
          </w:p>
          <w:p w:rsidR="00000000" w:rsidRPr="00AD1A97" w:rsidP="00AD1A97">
            <w:pPr>
              <w:pStyle w:val="ListBullet"/>
            </w:pPr>
            <w:r w:rsidRPr="00AD1A97">
              <w:t xml:space="preserve">communicating with other workplace personnel through: </w:t>
            </w:r>
          </w:p>
          <w:p w:rsidR="00000000" w:rsidRPr="00AD1A97" w:rsidP="00AD1A97">
            <w:pPr>
              <w:pStyle w:val="ListBullet2"/>
            </w:pPr>
            <w:r w:rsidRPr="00AD1A97">
              <w:t xml:space="preserve">appropriate worksite protocols </w:t>
            </w:r>
          </w:p>
          <w:p w:rsidR="00000000" w:rsidRPr="00AD1A97" w:rsidP="00AD1A97">
            <w:pPr>
              <w:pStyle w:val="ListBullet2"/>
            </w:pPr>
            <w:r w:rsidRPr="00AD1A97">
              <w:t>bells</w:t>
            </w:r>
          </w:p>
          <w:p w:rsidR="00000000" w:rsidRPr="00AD1A97" w:rsidP="00AD1A97">
            <w:pPr>
              <w:pStyle w:val="ListBullet2"/>
            </w:pPr>
            <w:r w:rsidRPr="00AD1A97">
              <w:t>buzzers</w:t>
            </w:r>
          </w:p>
          <w:p w:rsidR="00000000" w:rsidRPr="00AD1A97" w:rsidP="00AD1A97">
            <w:pPr>
              <w:pStyle w:val="ListBullet2"/>
            </w:pPr>
            <w:r w:rsidRPr="00AD1A97">
              <w:t>listening</w:t>
            </w:r>
          </w:p>
          <w:p w:rsidR="00000000" w:rsidRPr="00AD1A97" w:rsidP="00AD1A97">
            <w:pPr>
              <w:pStyle w:val="ListBullet2"/>
            </w:pPr>
            <w:r w:rsidRPr="00AD1A97">
              <w:t>making and interpreting hand signals</w:t>
            </w:r>
          </w:p>
          <w:p w:rsidR="00000000" w:rsidRPr="00AD1A97" w:rsidP="00AD1A97">
            <w:pPr>
              <w:pStyle w:val="ListBullet2"/>
            </w:pPr>
            <w:r w:rsidRPr="00AD1A97">
              <w:t>questioning to confirm understanding</w:t>
            </w:r>
          </w:p>
          <w:p w:rsidR="00000000" w:rsidRPr="00AD1A97" w:rsidP="00AD1A97">
            <w:pPr>
              <w:pStyle w:val="ListBullet2"/>
            </w:pPr>
            <w:r w:rsidRPr="00AD1A97">
              <w:t>signage</w:t>
            </w:r>
          </w:p>
          <w:p w:rsidR="00000000" w:rsidRPr="00AD1A97" w:rsidP="00AD1A97">
            <w:pPr>
              <w:pStyle w:val="ListBullet2"/>
            </w:pPr>
            <w:r w:rsidRPr="00AD1A97">
              <w:t>two-way radios</w:t>
            </w:r>
          </w:p>
          <w:p w:rsidR="00000000" w:rsidRPr="00AD1A97" w:rsidP="00AD1A97">
            <w:pPr>
              <w:pStyle w:val="ListBullet2"/>
            </w:pPr>
            <w:r w:rsidRPr="00AD1A97">
              <w:t>verbal and non-verbal language</w:t>
            </w:r>
          </w:p>
          <w:p w:rsidR="00000000" w:rsidRPr="00AD1A97" w:rsidP="00AD1A97">
            <w:pPr>
              <w:pStyle w:val="ListBullet2"/>
            </w:pPr>
            <w:r w:rsidRPr="00AD1A97">
              <w:t>written instructions</w:t>
            </w:r>
          </w:p>
          <w:p w:rsidR="00000000" w:rsidRPr="00AD1A97" w:rsidP="00AD1A97">
            <w:pPr>
              <w:pStyle w:val="ListBullet"/>
            </w:pPr>
            <w:r w:rsidRPr="00AD1A97">
              <w:t>complying with work health and safety (WHS)/occupational health and safety (OHS) licensing legis</w:t>
            </w:r>
            <w:r w:rsidRPr="00AD1A97">
              <w:t>lation</w:t>
            </w:r>
          </w:p>
          <w:p w:rsidR="00000000" w:rsidRPr="00AD1A97" w:rsidP="00AD1A97">
            <w:pPr>
              <w:pStyle w:val="ListBullet"/>
            </w:pPr>
            <w:r w:rsidRPr="00AD1A97">
              <w:t>operating a bridge and gantry crane including all functions to their maximum for lifting and moving loads to the maximum rated capacity in conjunction with other personnel while applying relevant crane movements including:</w:t>
            </w:r>
          </w:p>
          <w:p w:rsidR="00000000" w:rsidRPr="00AD1A97" w:rsidP="00AD1A97">
            <w:pPr>
              <w:pStyle w:val="ListBullet2"/>
            </w:pPr>
            <w:r w:rsidRPr="00AD1A97">
              <w:t>hoisting (raising and low</w:t>
            </w:r>
            <w:r w:rsidRPr="00AD1A97">
              <w:t>ering)</w:t>
            </w:r>
          </w:p>
          <w:p w:rsidR="00000000" w:rsidRPr="00AD1A97" w:rsidP="00AD1A97">
            <w:pPr>
              <w:pStyle w:val="ListBullet2"/>
            </w:pPr>
            <w:r w:rsidRPr="00AD1A97">
              <w:t>traversing (moving hoisting mechanisms along bridge)</w:t>
            </w:r>
          </w:p>
          <w:p w:rsidR="00000000" w:rsidRPr="00AD1A97" w:rsidP="00AD1A97">
            <w:pPr>
              <w:pStyle w:val="ListBullet2"/>
            </w:pPr>
            <w:r w:rsidRPr="00AD1A97">
              <w:t>travelling (at minimum speed, gentle acceleration and braking, to minimise load swing)</w:t>
            </w:r>
          </w:p>
          <w:p w:rsidR="00000000" w:rsidRPr="00AD1A97" w:rsidP="00AD1A97">
            <w:pPr>
              <w:pStyle w:val="ListBullet"/>
            </w:pPr>
            <w:r w:rsidRPr="00AD1A97">
              <w:t>receiving and interpreting workplace instructions, safety information, emergency procedures</w:t>
            </w:r>
          </w:p>
          <w:p w:rsidR="00000000" w:rsidRPr="00AD1A97" w:rsidP="00AD1A97">
            <w:pPr>
              <w:pStyle w:val="ListBullet"/>
            </w:pPr>
            <w:r w:rsidRPr="00AD1A97">
              <w:t xml:space="preserve">recording and maintaining accurate information relating to bridge and gantry crane operations </w:t>
            </w:r>
          </w:p>
          <w:p w:rsidR="00000000" w:rsidRPr="00AD1A97" w:rsidP="00AD1A97">
            <w:pPr>
              <w:pStyle w:val="ListBullet"/>
            </w:pPr>
            <w:r w:rsidRPr="00AD1A97">
              <w:t xml:space="preserve">shutting down bridge and gantry crane in accordance with manufacturer specifications and workplace procedures including: </w:t>
            </w:r>
          </w:p>
          <w:p w:rsidR="00000000" w:rsidRPr="00AD1A97" w:rsidP="00AD1A97">
            <w:pPr>
              <w:pStyle w:val="ListBullet2"/>
            </w:pPr>
            <w:r w:rsidRPr="00AD1A97">
              <w:t>isolating power to crane</w:t>
            </w:r>
          </w:p>
          <w:p w:rsidR="00000000" w:rsidRPr="00AD1A97" w:rsidP="00AD1A97">
            <w:pPr>
              <w:pStyle w:val="ListBullet2"/>
            </w:pPr>
            <w:r w:rsidRPr="00AD1A97">
              <w:t>locking and s</w:t>
            </w:r>
            <w:r w:rsidRPr="00AD1A97">
              <w:t>ecuring cabin as required</w:t>
            </w:r>
          </w:p>
          <w:p w:rsidR="00000000" w:rsidRPr="00AD1A97" w:rsidP="00AD1A97">
            <w:pPr>
              <w:pStyle w:val="ListBullet2"/>
            </w:pPr>
            <w:r w:rsidRPr="00AD1A97">
              <w:t>removing key from control panel as required</w:t>
            </w:r>
          </w:p>
          <w:p w:rsidR="00000000" w:rsidRPr="00AD1A97" w:rsidP="00AD1A97">
            <w:pPr>
              <w:pStyle w:val="ListBullet2"/>
            </w:pPr>
            <w:r w:rsidRPr="00AD1A97">
              <w:t xml:space="preserve">retracting hoist rope and hook block </w:t>
            </w:r>
          </w:p>
          <w:p w:rsidR="00000000" w:rsidRPr="00AD1A97" w:rsidP="00AD1A97">
            <w:pPr>
              <w:pStyle w:val="ListBullet2"/>
            </w:pPr>
            <w:r w:rsidRPr="00AD1A97">
              <w:t>travelling crane to park position</w:t>
            </w:r>
          </w:p>
          <w:p w:rsidR="00000000" w:rsidRPr="00AD1A97" w:rsidP="00AD1A97">
            <w:pPr>
              <w:pStyle w:val="ListBullet"/>
            </w:pPr>
            <w:r w:rsidRPr="00AD1A97">
              <w:t>test-lifting load just clear of lifting plane to ensure:</w:t>
            </w:r>
          </w:p>
          <w:p w:rsidR="00000000" w:rsidRPr="00AD1A97" w:rsidP="00AD1A97">
            <w:pPr>
              <w:pStyle w:val="ListBullet2"/>
            </w:pPr>
            <w:r w:rsidRPr="00AD1A97">
              <w:t>adjustments to slinging can be made in a safe manner</w:t>
            </w:r>
          </w:p>
          <w:p w:rsidR="00000000" w:rsidRPr="00AD1A97" w:rsidP="00AD1A97">
            <w:pPr>
              <w:pStyle w:val="ListBullet2"/>
            </w:pPr>
            <w:r w:rsidRPr="00AD1A97">
              <w:t>al</w:t>
            </w:r>
            <w:r w:rsidRPr="00AD1A97">
              <w:t>l crane equipment is functioning properly</w:t>
            </w:r>
          </w:p>
          <w:p w:rsidR="00000000" w:rsidRPr="00AD1A97" w:rsidP="00AD1A97">
            <w:pPr>
              <w:pStyle w:val="ListBullet2"/>
            </w:pPr>
            <w:r w:rsidRPr="00AD1A97">
              <w:t>load measuring equipment can be used to verify calculated weight of load</w:t>
            </w:r>
          </w:p>
          <w:p w:rsidR="00000000" w:rsidRPr="00AD1A97" w:rsidP="00AD1A97">
            <w:pPr>
              <w:pStyle w:val="ListBullet2"/>
            </w:pPr>
            <w:r w:rsidRPr="00AD1A97">
              <w:t>loads of unusual shape or weight distribution are correctly slung</w:t>
            </w:r>
          </w:p>
          <w:p w:rsidR="00000000" w:rsidRPr="00AD1A97" w:rsidP="00AD1A97">
            <w:pPr>
              <w:pStyle w:val="ListBullet2"/>
            </w:pPr>
            <w:r w:rsidRPr="00AD1A97">
              <w:t>near capacity loads do not overload crane</w:t>
            </w:r>
          </w:p>
          <w:p w:rsidR="00000000" w:rsidRPr="00AD1A97" w:rsidP="00AD1A97">
            <w:pPr>
              <w:pStyle w:val="ListBullet"/>
            </w:pPr>
            <w:r w:rsidRPr="00AD1A97">
              <w:t>using and interpreting crane man</w:t>
            </w:r>
            <w:r w:rsidRPr="00AD1A97">
              <w:t>ufacturer specifications and data, including maximum load to ensure crane is not overloaded</w:t>
            </w:r>
          </w:p>
          <w:p w:rsidR="00000000" w:rsidRPr="00AD1A97" w:rsidP="00AD1A97">
            <w:pPr>
              <w:pStyle w:val="ListBullet"/>
            </w:pPr>
            <w:r w:rsidRPr="00AD1A97">
              <w:t xml:space="preserve">using communications signals including: </w:t>
            </w:r>
          </w:p>
          <w:p w:rsidR="00000000" w:rsidRPr="00AD1A97" w:rsidP="00AD1A97">
            <w:pPr>
              <w:pStyle w:val="ListBullet2"/>
            </w:pPr>
            <w:r w:rsidRPr="00AD1A97">
              <w:t>hoist up – hand</w:t>
            </w:r>
          </w:p>
          <w:p w:rsidR="00000000" w:rsidRPr="00AD1A97" w:rsidP="00AD1A97">
            <w:pPr>
              <w:pStyle w:val="ListBullet2"/>
            </w:pPr>
            <w:r w:rsidRPr="00AD1A97">
              <w:t>hoist up –whistle</w:t>
            </w:r>
          </w:p>
          <w:p w:rsidR="00000000" w:rsidRPr="00AD1A97" w:rsidP="00AD1A97">
            <w:pPr>
              <w:pStyle w:val="ListBullet2"/>
            </w:pPr>
            <w:r w:rsidRPr="00AD1A97">
              <w:t>hoist down - hand</w:t>
            </w:r>
          </w:p>
          <w:p w:rsidR="00000000" w:rsidRPr="00AD1A97" w:rsidP="00AD1A97">
            <w:pPr>
              <w:pStyle w:val="ListBullet2"/>
            </w:pPr>
            <w:r w:rsidRPr="00AD1A97">
              <w:t>hoist down- whistle</w:t>
            </w:r>
          </w:p>
          <w:p w:rsidR="00000000" w:rsidRPr="00AD1A97" w:rsidP="00AD1A97">
            <w:pPr>
              <w:pStyle w:val="ListBullet2"/>
            </w:pPr>
            <w:r w:rsidRPr="00AD1A97">
              <w:t>stop – hand</w:t>
            </w:r>
          </w:p>
          <w:p w:rsidR="00000000" w:rsidRPr="00AD1A97" w:rsidP="00AD1A97">
            <w:pPr>
              <w:pStyle w:val="ListBullet2"/>
            </w:pPr>
            <w:r w:rsidRPr="00AD1A97">
              <w:t>stop – whistle</w:t>
            </w:r>
          </w:p>
          <w:p w:rsidR="00000000" w:rsidRPr="00AD1A97" w:rsidP="00AD1A97">
            <w:pPr>
              <w:pStyle w:val="ListBullet2"/>
            </w:pPr>
            <w:r w:rsidRPr="00AD1A97">
              <w:t>traverse – hand</w:t>
            </w:r>
          </w:p>
          <w:p w:rsidR="00000000" w:rsidRPr="00AD1A97" w:rsidP="00AD1A97">
            <w:pPr>
              <w:pStyle w:val="ListBullet2"/>
            </w:pPr>
            <w:r w:rsidRPr="00AD1A97">
              <w:t xml:space="preserve">travel </w:t>
            </w:r>
            <w:r w:rsidRPr="00AD1A97">
              <w:t>– hand</w:t>
            </w:r>
          </w:p>
          <w:p w:rsidR="00000000" w:rsidRPr="00AD1A97" w:rsidP="00AD1A97">
            <w:pPr>
              <w:pStyle w:val="ListBullet2"/>
            </w:pPr>
            <w:r w:rsidRPr="00AD1A97">
              <w:t>creep - hand</w:t>
            </w:r>
          </w:p>
          <w:p w:rsidR="00000000" w:rsidRPr="00AD1A97" w:rsidP="00AD1A97">
            <w:pPr>
              <w:pStyle w:val="ListBullet"/>
            </w:pPr>
            <w:r w:rsidRPr="00AD1A97">
              <w:t>verifying problems and equipment faults, and applying appropriate response procedures to unplanned and/or unsafe situations including:</w:t>
            </w:r>
          </w:p>
          <w:p w:rsidR="00000000" w:rsidRPr="00AD1A97" w:rsidP="00AD1A97">
            <w:pPr>
              <w:pStyle w:val="ListBullet2"/>
            </w:pPr>
            <w:r w:rsidRPr="00AD1A97">
              <w:t>environmental conditions (e.g. wind, lightning, storms, etc.)</w:t>
            </w:r>
          </w:p>
          <w:p w:rsidR="00000000" w:rsidRPr="00AD1A97" w:rsidP="00AD1A97">
            <w:pPr>
              <w:pStyle w:val="ListBullet2"/>
            </w:pPr>
            <w:r w:rsidRPr="00AD1A97">
              <w:t xml:space="preserve">failure/loss of control (e.g. brakes </w:t>
            </w:r>
            <w:r w:rsidRPr="00AD1A97">
              <w:t>and steering)</w:t>
            </w:r>
          </w:p>
          <w:p w:rsidR="00000000" w:rsidRPr="00AD1A97" w:rsidP="00AD1A97">
            <w:pPr>
              <w:pStyle w:val="ListBullet2"/>
            </w:pPr>
            <w:r w:rsidRPr="00AD1A97">
              <w:t>failure of equipment (e.g. hydraulic system)</w:t>
            </w:r>
          </w:p>
          <w:p w:rsidR="00000000" w:rsidRPr="00AD1A97" w:rsidP="00AD1A97">
            <w:pPr>
              <w:pStyle w:val="ListBullet2"/>
            </w:pPr>
            <w:r w:rsidRPr="00AD1A97">
              <w:t>obstacles and obstructions</w:t>
            </w:r>
          </w:p>
          <w:p w:rsidR="00000000" w:rsidRPr="00AD1A97" w:rsidP="00AD1A97">
            <w:pPr>
              <w:pStyle w:val="ListBullet2"/>
            </w:pPr>
            <w:r w:rsidRPr="00AD1A97">
              <w:t>unusual or difficult terrains.</w:t>
            </w:r>
          </w:p>
        </w:tc>
      </w:tr>
    </w:tbl>
    <w:p w:rsidR="00F565FE" w:rsidP="00AD1A97">
      <w:pPr>
        <w:pStyle w:val="BodyText"/>
      </w:pPr>
    </w:p>
    <w:p w:rsidR="00F565FE" w:rsidP="00AD1A97">
      <w:pPr>
        <w:pStyle w:val="BodyText"/>
      </w:pPr>
    </w:p>
    <w:p w:rsidR="00000000" w:rsidRPr="00AD1A97" w:rsidP="00AD1A97">
      <w:pPr>
        <w:pStyle w:val="Heading1"/>
      </w:pPr>
      <w:bookmarkStart w:id="3" w:name="O_829307"/>
      <w:bookmarkEnd w:id="3"/>
      <w:r w:rsidRPr="00AD1A97">
        <w:t>Knowledge Evidence</w:t>
      </w:r>
    </w:p>
    <w:tbl>
      <w:tblPr>
        <w:tblW w:w="0" w:type="auto"/>
        <w:tblCellMar>
          <w:left w:w="62" w:type="dxa"/>
          <w:right w:w="62" w:type="dxa"/>
        </w:tblCellMar>
        <w:tblLook w:val="0000"/>
      </w:tblPr>
      <w:tblGrid>
        <w:gridCol w:w="9196"/>
      </w:tblGrid>
      <w:tr w:rsidTr="00F565F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D1A97">
            <w:pPr>
              <w:pStyle w:val="BodyText"/>
              <w:rPr>
                <w:lang w:val="en-NZ"/>
              </w:rPr>
            </w:pPr>
            <w:r w:rsidRPr="00AD1A97">
              <w:t>Evidence required to demonstrate competence in this unit must be relevant to and satisfy all of the requirements of the elements, and performance criteria and include knowledge of:</w:t>
            </w:r>
          </w:p>
        </w:tc>
      </w:tr>
      <w:tr w:rsidTr="00F565FE">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AD1A97" w:rsidP="00AD1A97">
            <w:pPr>
              <w:pStyle w:val="ListBullet"/>
            </w:pPr>
            <w:r w:rsidRPr="00AD1A97">
              <w:t>appropriate mathematical procedures for estimating loads</w:t>
            </w:r>
          </w:p>
          <w:p w:rsidR="00000000" w:rsidRPr="00AD1A97" w:rsidP="00AD1A97">
            <w:pPr>
              <w:pStyle w:val="ListBullet"/>
            </w:pPr>
            <w:r w:rsidRPr="00AD1A97">
              <w:t xml:space="preserve">Australian and industry standards relevant to operating a bridge and gantry crane </w:t>
            </w:r>
          </w:p>
          <w:p w:rsidR="00000000" w:rsidRPr="00AD1A97" w:rsidP="00AD1A97">
            <w:pPr>
              <w:pStyle w:val="ListBullet"/>
            </w:pPr>
            <w:r w:rsidRPr="00AD1A97">
              <w:t>bridge and gantry crane characteristics and capabilities to allow for operating a crane to suit the range of loads</w:t>
            </w:r>
          </w:p>
          <w:p w:rsidR="00000000" w:rsidRPr="00AD1A97" w:rsidP="00AD1A97">
            <w:pPr>
              <w:pStyle w:val="ListBullet"/>
            </w:pPr>
            <w:r w:rsidRPr="00AD1A97">
              <w:t>Commonwealth, state or territory WHS/OHS legislation, stan</w:t>
            </w:r>
            <w:r w:rsidRPr="00AD1A97">
              <w:t>dards and codes of practice relevant to the full range of processes for the crane class</w:t>
            </w:r>
          </w:p>
          <w:p w:rsidR="00000000" w:rsidRPr="00AD1A97" w:rsidP="00AD1A97">
            <w:pPr>
              <w:pStyle w:val="ListBullet"/>
            </w:pPr>
            <w:r w:rsidRPr="00AD1A97">
              <w:t>emergency procedures including escape routes</w:t>
            </w:r>
          </w:p>
          <w:p w:rsidR="00000000" w:rsidRPr="00AD1A97" w:rsidP="00AD1A97">
            <w:pPr>
              <w:pStyle w:val="ListBullet"/>
            </w:pPr>
            <w:r w:rsidRPr="00AD1A97">
              <w:t>hazards including:</w:t>
            </w:r>
          </w:p>
          <w:p w:rsidR="00000000" w:rsidRPr="00AD1A97" w:rsidP="00AD1A97">
            <w:pPr>
              <w:pStyle w:val="ListBullet2"/>
            </w:pPr>
            <w:r w:rsidRPr="00AD1A97">
              <w:t>environmental conditions (e.g. wind, lightning, storms)</w:t>
            </w:r>
          </w:p>
          <w:p w:rsidR="00000000" w:rsidRPr="00AD1A97" w:rsidP="00AD1A97">
            <w:pPr>
              <w:pStyle w:val="ListBullet2"/>
            </w:pPr>
            <w:r w:rsidRPr="00AD1A97">
              <w:t>ground stability (e.g. ground condition or slop</w:t>
            </w:r>
            <w:r w:rsidRPr="00AD1A97">
              <w:t>es for load placement)</w:t>
            </w:r>
          </w:p>
          <w:p w:rsidR="00000000" w:rsidRPr="00AD1A97" w:rsidP="00AD1A97">
            <w:pPr>
              <w:pStyle w:val="ListBullet2"/>
            </w:pPr>
            <w:r w:rsidRPr="00AD1A97">
              <w:t>insufficient lighting</w:t>
            </w:r>
          </w:p>
          <w:p w:rsidR="00000000" w:rsidRPr="00AD1A97" w:rsidP="00AD1A97">
            <w:pPr>
              <w:pStyle w:val="ListBullet2"/>
            </w:pPr>
            <w:r w:rsidRPr="00AD1A97">
              <w:t>other specific hazards (e.g. dangerous materials)</w:t>
            </w:r>
          </w:p>
          <w:p w:rsidR="00000000" w:rsidRPr="00AD1A97" w:rsidP="00AD1A97">
            <w:pPr>
              <w:pStyle w:val="ListBullet2"/>
            </w:pPr>
            <w:r w:rsidRPr="00AD1A97">
              <w:t>overhead hazards (e.g. electric lines, service pipes)</w:t>
            </w:r>
          </w:p>
          <w:p w:rsidR="00000000" w:rsidRPr="00AD1A97" w:rsidP="00AD1A97">
            <w:pPr>
              <w:pStyle w:val="ListBullet2"/>
            </w:pPr>
            <w:r w:rsidRPr="00AD1A97">
              <w:t>traffic (e.g. pedestrians, vehicles, plant)</w:t>
            </w:r>
          </w:p>
          <w:p w:rsidR="00000000" w:rsidRPr="00AD1A97" w:rsidP="00AD1A97">
            <w:pPr>
              <w:pStyle w:val="ListBullet"/>
            </w:pPr>
            <w:r w:rsidRPr="00AD1A97">
              <w:t>hierarchy of hazard identification and control:</w:t>
            </w:r>
          </w:p>
          <w:p w:rsidR="00000000" w:rsidRPr="00AD1A97" w:rsidP="00AD1A97">
            <w:pPr>
              <w:pStyle w:val="ListBullet2"/>
            </w:pPr>
            <w:r w:rsidRPr="00AD1A97">
              <w:t>elimination</w:t>
            </w:r>
          </w:p>
          <w:p w:rsidR="00000000" w:rsidRPr="00AD1A97" w:rsidP="00AD1A97">
            <w:pPr>
              <w:pStyle w:val="ListBullet2"/>
            </w:pPr>
            <w:r w:rsidRPr="00AD1A97">
              <w:t>substitution</w:t>
            </w:r>
          </w:p>
          <w:p w:rsidR="00000000" w:rsidRPr="00AD1A97" w:rsidP="00AD1A97">
            <w:pPr>
              <w:pStyle w:val="ListBullet2"/>
            </w:pPr>
            <w:r w:rsidRPr="00AD1A97">
              <w:t>isolation</w:t>
            </w:r>
          </w:p>
          <w:p w:rsidR="00000000" w:rsidRPr="00AD1A97" w:rsidP="00AD1A97">
            <w:pPr>
              <w:pStyle w:val="ListBullet2"/>
            </w:pPr>
            <w:r w:rsidRPr="00AD1A97">
              <w:t xml:space="preserve">engineering controls </w:t>
            </w:r>
          </w:p>
          <w:p w:rsidR="00000000" w:rsidRPr="00AD1A97" w:rsidP="00AD1A97">
            <w:pPr>
              <w:pStyle w:val="ListBullet2"/>
            </w:pPr>
            <w:r w:rsidRPr="00AD1A97">
              <w:t>administrative controls</w:t>
            </w:r>
          </w:p>
          <w:p w:rsidR="00000000" w:rsidRPr="00AD1A97" w:rsidP="00AD1A97">
            <w:pPr>
              <w:pStyle w:val="ListBullet2"/>
            </w:pPr>
            <w:r w:rsidRPr="00AD1A97">
              <w:t>personal protective equipment (PPE)</w:t>
            </w:r>
          </w:p>
          <w:p w:rsidR="00000000" w:rsidRPr="00AD1A97" w:rsidP="00AD1A97">
            <w:pPr>
              <w:pStyle w:val="ListBullet"/>
            </w:pPr>
            <w:r w:rsidRPr="00AD1A97">
              <w:t>organisational and workplace standards, requirements, policies and procedures for conducting operations for the crane class</w:t>
            </w:r>
          </w:p>
          <w:p w:rsidR="00000000" w:rsidRPr="00AD1A97" w:rsidP="00AD1A97">
            <w:pPr>
              <w:pStyle w:val="ListBullet"/>
            </w:pPr>
            <w:r w:rsidRPr="00AD1A97">
              <w:t xml:space="preserve">procedures for recording, </w:t>
            </w:r>
            <w:r w:rsidRPr="00AD1A97">
              <w:t>reporting and maintaining workplace records and information</w:t>
            </w:r>
          </w:p>
          <w:p w:rsidR="00000000" w:rsidRPr="00AD1A97" w:rsidP="00AD1A97">
            <w:pPr>
              <w:pStyle w:val="ListBullet"/>
            </w:pPr>
            <w:r w:rsidRPr="00AD1A97">
              <w:t>rated capacity and working load limits (including use of crane load charts)</w:t>
            </w:r>
          </w:p>
          <w:p w:rsidR="00000000" w:rsidRPr="00AD1A97" w:rsidP="00AD1A97">
            <w:pPr>
              <w:pStyle w:val="ListBullet"/>
            </w:pPr>
            <w:r w:rsidRPr="00AD1A97">
              <w:t>risks associated with overhead electric lines/electrical cables, access to cabin, vehicles and clear access while travel</w:t>
            </w:r>
            <w:r w:rsidRPr="00AD1A97">
              <w:t xml:space="preserve">ling </w:t>
            </w:r>
          </w:p>
          <w:p w:rsidR="00000000" w:rsidRPr="00AD1A97" w:rsidP="00AD1A97">
            <w:pPr>
              <w:pStyle w:val="ListBullet"/>
            </w:pPr>
            <w:r w:rsidRPr="00AD1A97">
              <w:t>systematic process of eliminating or reducing risk to personnel and property through the application of controls</w:t>
            </w:r>
          </w:p>
          <w:p w:rsidR="00000000" w:rsidRPr="00AD1A97" w:rsidP="00AD1A97">
            <w:pPr>
              <w:pStyle w:val="ListBullet"/>
            </w:pPr>
            <w:r w:rsidRPr="00AD1A97">
              <w:t>typical routine problems encountered operating crane and equipment, and adjustments required for correction.</w:t>
            </w:r>
          </w:p>
        </w:tc>
      </w:tr>
    </w:tbl>
    <w:p w:rsidR="00000000" w:rsidRPr="00AD1A97" w:rsidP="00AD1A97">
      <w:pPr>
        <w:pStyle w:val="BodyText"/>
      </w:pPr>
    </w:p>
    <w:p w:rsidR="00000000" w:rsidRPr="00AD1A97" w:rsidP="00AD1A97">
      <w:pPr>
        <w:pStyle w:val="AllowPageBreak"/>
      </w:pPr>
    </w:p>
    <w:p w:rsidR="00000000" w:rsidRPr="00AD1A97" w:rsidP="00AD1A97">
      <w:pPr>
        <w:pStyle w:val="Heading1"/>
      </w:pPr>
      <w:bookmarkStart w:id="4" w:name="O_829308"/>
      <w:bookmarkEnd w:id="4"/>
      <w:r w:rsidRPr="00AD1A97">
        <w:t>Assessment Conditions</w:t>
      </w:r>
    </w:p>
    <w:tbl>
      <w:tblPr>
        <w:tblW w:w="0" w:type="auto"/>
        <w:tblCellMar>
          <w:left w:w="62" w:type="dxa"/>
          <w:right w:w="62" w:type="dxa"/>
        </w:tblCellMar>
        <w:tblLook w:val="0000"/>
      </w:tblPr>
      <w:tblGrid>
        <w:gridCol w:w="9196"/>
      </w:tblGrid>
      <w:tr w:rsidTr="00F565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A97" w:rsidP="00AD1A97">
            <w:pPr>
              <w:pStyle w:val="BodyText"/>
            </w:pPr>
            <w:r w:rsidRPr="00AD1A97">
              <w:t xml:space="preserve">Assessments must be conducted by an assessor accredited for this high risk work (HRW) licence class in the Commonwealth/state/territory where the licence will be obtained (i.e. an assessor authorised by a Commonwealth/state/territory </w:t>
            </w:r>
            <w:r w:rsidRPr="00AD1A97">
              <w:t>WHS/OHS regulator).</w:t>
            </w:r>
          </w:p>
          <w:p w:rsidR="00000000" w:rsidRPr="00AD1A97" w:rsidP="00AD1A97">
            <w:pPr>
              <w:pStyle w:val="BodyText"/>
            </w:pPr>
            <w:r w:rsidRPr="00AD1A97">
              <w:t xml:space="preserve">As a minimum, assessors must satisfy applicable regulatory requirements, which may include requirements in the </w:t>
            </w:r>
            <w:r w:rsidRPr="00AD1A97">
              <w:rPr>
                <w:rStyle w:val="Emphasis"/>
              </w:rPr>
              <w:t>Standards for</w:t>
            </w:r>
            <w:r w:rsidRPr="00AD1A97">
              <w:t xml:space="preserve"> </w:t>
            </w:r>
            <w:r w:rsidRPr="00AD1A97">
              <w:rPr>
                <w:rStyle w:val="Emphasis"/>
              </w:rPr>
              <w:t>Registered Training Organisations</w:t>
            </w:r>
            <w:r w:rsidRPr="00AD1A97">
              <w:t xml:space="preserve"> current at the time of assessment.</w:t>
            </w:r>
          </w:p>
          <w:p w:rsidR="00000000" w:rsidRPr="00AD1A97" w:rsidP="00AD1A97">
            <w:pPr>
              <w:pStyle w:val="BodyText"/>
            </w:pPr>
            <w:r w:rsidRPr="00AD1A97">
              <w:t>Assessment processes and techniques must b</w:t>
            </w:r>
            <w:r w:rsidRPr="00AD1A97">
              <w:t>e appropriate to the language, literacy and numeracy requirements of the work being performed and all assessment must be conducted in the English language.</w:t>
            </w:r>
          </w:p>
          <w:p w:rsidR="00000000" w:rsidRPr="00AD1A97" w:rsidP="00AD1A97">
            <w:pPr>
              <w:pStyle w:val="BodyText"/>
            </w:pPr>
            <w:r w:rsidRPr="00AD1A97">
              <w:t>Assessment of performance must be undertaken in the workplace and/or under realistic workplace condi</w:t>
            </w:r>
            <w:r w:rsidRPr="00AD1A97">
              <w:t>tions which typically reflect:</w:t>
            </w:r>
          </w:p>
          <w:p w:rsidR="00000000" w:rsidRPr="00AD1A97" w:rsidP="00AD1A97">
            <w:pPr>
              <w:pStyle w:val="ListBullet"/>
            </w:pPr>
            <w:r w:rsidRPr="00AD1A97">
              <w:t>performing tasks/activities within timelines that would be expected in a workplace</w:t>
            </w:r>
          </w:p>
          <w:p w:rsidR="00000000" w:rsidRPr="00AD1A97" w:rsidP="00AD1A97">
            <w:pPr>
              <w:pStyle w:val="ListBullet"/>
            </w:pPr>
            <w:r w:rsidRPr="00AD1A97">
              <w:t>standard and authorised work practices, safety requirements and environmental constraints</w:t>
            </w:r>
          </w:p>
          <w:p w:rsidR="00000000" w:rsidRPr="00AD1A97" w:rsidP="00AD1A97">
            <w:pPr>
              <w:pStyle w:val="ListBullet"/>
            </w:pPr>
            <w:r w:rsidRPr="00AD1A97">
              <w:t>using full-scale equipment</w:t>
            </w:r>
          </w:p>
          <w:p w:rsidR="00000000" w:rsidRPr="00AD1A97" w:rsidP="00AD1A97">
            <w:pPr>
              <w:pStyle w:val="BodyText"/>
            </w:pPr>
            <w:r w:rsidRPr="00AD1A97">
              <w:t xml:space="preserve">Bridge and gantry crane </w:t>
            </w:r>
            <w:r w:rsidRPr="00AD1A97">
              <w:t xml:space="preserve">operation assessment must be conducted in a working zone in accordance with state/territory arrangements. </w:t>
            </w:r>
          </w:p>
          <w:p w:rsidR="00000000" w:rsidRPr="00AD1A97" w:rsidP="00AD1A97">
            <w:pPr>
              <w:pStyle w:val="BodyText"/>
            </w:pPr>
            <w:r w:rsidRPr="00AD1A97">
              <w:t>If the working zone is located at a ‘live’ site, assessment should continue in all weather conditions unless the safety of the candidate or others co</w:t>
            </w:r>
            <w:r w:rsidRPr="00AD1A97">
              <w:t>uld be compromised.</w:t>
            </w:r>
          </w:p>
          <w:p w:rsidR="00000000" w:rsidRPr="00AD1A97" w:rsidP="00AD1A97">
            <w:pPr>
              <w:pStyle w:val="BodyText"/>
            </w:pPr>
            <w:r w:rsidRPr="00AD1A97">
              <w:t xml:space="preserve">Simulators must </w:t>
            </w:r>
            <w:r w:rsidRPr="00AD1A97">
              <w:rPr>
                <w:rStyle w:val="SpecialBold"/>
              </w:rPr>
              <w:t xml:space="preserve">not </w:t>
            </w:r>
            <w:r w:rsidRPr="00AD1A97">
              <w:t xml:space="preserve">be used in the assessment of this unit of competency. </w:t>
            </w:r>
          </w:p>
          <w:p w:rsidR="00000000" w:rsidRPr="00AD1A97" w:rsidP="00AD1A97">
            <w:pPr>
              <w:pStyle w:val="BodyText"/>
            </w:pPr>
            <w:r w:rsidRPr="00AD1A97">
              <w:t>Accredited assessors are responsible for ensuring candidates have access to:</w:t>
            </w:r>
          </w:p>
          <w:p w:rsidR="00000000" w:rsidRPr="00AD1A97" w:rsidP="00AD1A97">
            <w:pPr>
              <w:pStyle w:val="ListBullet"/>
            </w:pPr>
            <w:r w:rsidRPr="00AD1A97">
              <w:t xml:space="preserve">appropriate bridge crane, a bridge beam mounted at each end to an end carriage, </w:t>
            </w:r>
            <w:r w:rsidRPr="00AD1A97">
              <w:t>capable of travelling along elevated runways and having one or more hoisting mechanisms arranged to traverse across the bridge</w:t>
            </w:r>
          </w:p>
          <w:p w:rsidR="00000000" w:rsidRPr="00AD1A97" w:rsidP="00AD1A97">
            <w:pPr>
              <w:pStyle w:val="ListBullet"/>
            </w:pPr>
            <w:r w:rsidRPr="00AD1A97">
              <w:t>appropriate gantry crane, a bridge beam, supported at each end by legs mounted on end carriages, capable of travelling on support</w:t>
            </w:r>
            <w:r w:rsidRPr="00AD1A97">
              <w:t>ed surfaces or deck levels, whether fixed or not, which has a crab with one or more hoisting units arranged to travel across the bridge</w:t>
            </w:r>
          </w:p>
          <w:p w:rsidR="00000000" w:rsidRPr="00AD1A97" w:rsidP="00AD1A97">
            <w:pPr>
              <w:pStyle w:val="ListBullet"/>
            </w:pPr>
            <w:r w:rsidRPr="00AD1A97">
              <w:t>appropriate personnel to sling and direct loads including:</w:t>
            </w:r>
          </w:p>
          <w:p w:rsidR="00000000" w:rsidRPr="00AD1A97" w:rsidP="00AD1A97">
            <w:pPr>
              <w:pStyle w:val="ListBullet2"/>
            </w:pPr>
            <w:r w:rsidRPr="00AD1A97">
              <w:t>doggers</w:t>
            </w:r>
          </w:p>
          <w:p w:rsidR="00000000" w:rsidRPr="00AD1A97" w:rsidP="00AD1A97">
            <w:pPr>
              <w:pStyle w:val="ListBullet2"/>
            </w:pPr>
            <w:r w:rsidRPr="00AD1A97">
              <w:t>riggers</w:t>
            </w:r>
          </w:p>
          <w:p w:rsidR="00000000" w:rsidRPr="00AD1A97" w:rsidP="00AD1A97">
            <w:pPr>
              <w:pStyle w:val="ListBullet"/>
            </w:pPr>
            <w:r w:rsidRPr="00AD1A97">
              <w:t>communications equipment including:</w:t>
            </w:r>
          </w:p>
          <w:p w:rsidR="00000000" w:rsidRPr="00AD1A97" w:rsidP="00AD1A97">
            <w:pPr>
              <w:pStyle w:val="ListBullet2"/>
            </w:pPr>
            <w:r w:rsidRPr="00AD1A97">
              <w:t>bells</w:t>
            </w:r>
          </w:p>
          <w:p w:rsidR="00000000" w:rsidRPr="00AD1A97" w:rsidP="00AD1A97">
            <w:pPr>
              <w:pStyle w:val="ListBullet2"/>
            </w:pPr>
            <w:r w:rsidRPr="00AD1A97">
              <w:t>buzzers</w:t>
            </w:r>
          </w:p>
          <w:p w:rsidR="00000000" w:rsidRPr="00AD1A97" w:rsidP="00AD1A97">
            <w:pPr>
              <w:pStyle w:val="ListBullet2"/>
            </w:pPr>
            <w:r w:rsidRPr="00AD1A97">
              <w:t>two-way radios</w:t>
            </w:r>
          </w:p>
          <w:p w:rsidR="00000000" w:rsidRPr="00AD1A97" w:rsidP="00AD1A97">
            <w:pPr>
              <w:pStyle w:val="ListBullet2"/>
            </w:pPr>
            <w:r w:rsidRPr="00AD1A97">
              <w:t>whistles</w:t>
            </w:r>
          </w:p>
          <w:p w:rsidR="00000000" w:rsidRPr="00AD1A97" w:rsidP="00AD1A97">
            <w:pPr>
              <w:pStyle w:val="ListBullet"/>
            </w:pPr>
            <w:r w:rsidRPr="00AD1A97">
              <w:t>controls including:</w:t>
            </w:r>
          </w:p>
          <w:p w:rsidR="00000000" w:rsidRPr="00AD1A97" w:rsidP="00AD1A97">
            <w:pPr>
              <w:pStyle w:val="ListBullet2"/>
            </w:pPr>
            <w:r w:rsidRPr="00AD1A97">
              <w:t>cross travel levers</w:t>
            </w:r>
          </w:p>
          <w:p w:rsidR="00000000" w:rsidRPr="00AD1A97" w:rsidP="00AD1A97">
            <w:pPr>
              <w:pStyle w:val="ListBullet2"/>
            </w:pPr>
            <w:r w:rsidRPr="00AD1A97">
              <w:t>hoisting and lowering levers</w:t>
            </w:r>
          </w:p>
          <w:p w:rsidR="00000000" w:rsidRPr="00AD1A97" w:rsidP="00AD1A97">
            <w:pPr>
              <w:pStyle w:val="ListBullet2"/>
            </w:pPr>
            <w:r w:rsidRPr="00AD1A97">
              <w:t>long travel levers</w:t>
            </w:r>
          </w:p>
          <w:p w:rsidR="00000000" w:rsidRPr="00AD1A97" w:rsidP="00AD1A97">
            <w:pPr>
              <w:pStyle w:val="ListBullet2"/>
            </w:pPr>
            <w:r w:rsidRPr="00AD1A97">
              <w:t>rotating hook levers (where applicable)</w:t>
            </w:r>
          </w:p>
          <w:p w:rsidR="00000000" w:rsidRPr="00AD1A97" w:rsidP="00AD1A97">
            <w:pPr>
              <w:pStyle w:val="ListBullet"/>
            </w:pPr>
            <w:r w:rsidRPr="00AD1A97">
              <w:t>required personal protective equipment (PPE) for the purpose of the Performance Assessment</w:t>
            </w:r>
          </w:p>
          <w:p w:rsidR="00000000" w:rsidRPr="00AD1A97" w:rsidP="00AD1A97">
            <w:pPr>
              <w:pStyle w:val="ListBullet"/>
            </w:pPr>
            <w:r w:rsidRPr="00AD1A97">
              <w:t>safety devices including:</w:t>
            </w:r>
          </w:p>
          <w:p w:rsidR="00000000" w:rsidRPr="00AD1A97" w:rsidP="00AD1A97">
            <w:pPr>
              <w:pStyle w:val="ListBullet2"/>
            </w:pPr>
            <w:r w:rsidRPr="00AD1A97">
              <w:t>audible and visual reversing devices</w:t>
            </w:r>
          </w:p>
          <w:p w:rsidR="00000000" w:rsidRPr="00AD1A97" w:rsidP="00AD1A97">
            <w:pPr>
              <w:pStyle w:val="ListBullet2"/>
            </w:pPr>
            <w:r w:rsidRPr="00AD1A97">
              <w:t>horns/sirens</w:t>
            </w:r>
          </w:p>
          <w:p w:rsidR="00000000" w:rsidRPr="00AD1A97" w:rsidP="00AD1A97">
            <w:pPr>
              <w:pStyle w:val="ListBullet2"/>
            </w:pPr>
            <w:r w:rsidRPr="00AD1A97">
              <w:t>lights</w:t>
            </w:r>
          </w:p>
          <w:p w:rsidR="00000000" w:rsidRPr="00AD1A97" w:rsidP="00AD1A97">
            <w:pPr>
              <w:pStyle w:val="ListBullet"/>
            </w:pPr>
            <w:r w:rsidRPr="00AD1A97">
              <w:t>operator restraint devices</w:t>
            </w:r>
          </w:p>
          <w:p w:rsidR="00000000" w:rsidRPr="00AD1A97" w:rsidP="00AD1A97">
            <w:pPr>
              <w:pStyle w:val="ListBullet"/>
            </w:pPr>
            <w:r w:rsidRPr="00AD1A97">
              <w:t>where appropriate, relevant workplace procedures and standards for operating a bridge and gantry crane including:</w:t>
            </w:r>
          </w:p>
          <w:p w:rsidR="00000000" w:rsidRPr="00AD1A97" w:rsidP="00AD1A97">
            <w:pPr>
              <w:pStyle w:val="ListBullet2"/>
            </w:pPr>
            <w:r w:rsidRPr="00AD1A97">
              <w:t>approved codes of practice an</w:t>
            </w:r>
            <w:r w:rsidRPr="00AD1A97">
              <w:t>d guidance</w:t>
            </w:r>
          </w:p>
          <w:p w:rsidR="00000000" w:rsidRPr="00AD1A97" w:rsidP="00AD1A97">
            <w:pPr>
              <w:pStyle w:val="ListBullet2"/>
            </w:pPr>
            <w:r w:rsidRPr="00AD1A97">
              <w:t>Australian standard</w:t>
            </w:r>
          </w:p>
          <w:p w:rsidR="00000000" w:rsidRPr="00AD1A97" w:rsidP="00AD1A97">
            <w:pPr>
              <w:pStyle w:val="ListBullet2"/>
            </w:pPr>
            <w:r w:rsidRPr="00AD1A97">
              <w:t>checklists</w:t>
            </w:r>
          </w:p>
          <w:p w:rsidR="00000000" w:rsidRPr="00AD1A97" w:rsidP="00AD1A97">
            <w:pPr>
              <w:pStyle w:val="ListBullet2"/>
            </w:pPr>
            <w:r w:rsidRPr="00AD1A97">
              <w:t>control labels</w:t>
            </w:r>
          </w:p>
          <w:p w:rsidR="00000000" w:rsidRPr="00AD1A97" w:rsidP="00AD1A97">
            <w:pPr>
              <w:pStyle w:val="ListBullet2"/>
            </w:pPr>
            <w:r w:rsidRPr="00AD1A97">
              <w:t>crane data plates/labels</w:t>
            </w:r>
          </w:p>
          <w:p w:rsidR="00000000" w:rsidRPr="00AD1A97" w:rsidP="00AD1A97">
            <w:pPr>
              <w:pStyle w:val="ListBullet2"/>
            </w:pPr>
            <w:r w:rsidRPr="00AD1A97">
              <w:t>crane decals</w:t>
            </w:r>
          </w:p>
          <w:p w:rsidR="00000000" w:rsidRPr="00AD1A97" w:rsidP="00AD1A97">
            <w:pPr>
              <w:pStyle w:val="ListBullet2"/>
            </w:pPr>
            <w:r w:rsidRPr="00AD1A97">
              <w:t>history record system where service and maintenance history is kept</w:t>
            </w:r>
          </w:p>
          <w:p w:rsidR="00000000" w:rsidRPr="00AD1A97" w:rsidP="00AD1A97">
            <w:pPr>
              <w:pStyle w:val="ListBullet2"/>
            </w:pPr>
            <w:r w:rsidRPr="00AD1A97">
              <w:t>industry operating procedures</w:t>
            </w:r>
          </w:p>
          <w:p w:rsidR="00000000" w:rsidRPr="00AD1A97" w:rsidP="00AD1A97">
            <w:pPr>
              <w:pStyle w:val="ListBullet2"/>
            </w:pPr>
            <w:r w:rsidRPr="00AD1A97">
              <w:t>relevant industry standards (where applicable)</w:t>
            </w:r>
          </w:p>
          <w:p w:rsidR="00000000" w:rsidRPr="00AD1A97" w:rsidP="00AD1A97">
            <w:pPr>
              <w:pStyle w:val="ListBullet2"/>
            </w:pPr>
            <w:r w:rsidRPr="00AD1A97">
              <w:t>load charts</w:t>
            </w:r>
          </w:p>
          <w:p w:rsidR="00000000" w:rsidRPr="00AD1A97" w:rsidP="00AD1A97">
            <w:pPr>
              <w:pStyle w:val="ListBullet2"/>
            </w:pPr>
            <w:r w:rsidRPr="00AD1A97">
              <w:t>logbook</w:t>
            </w:r>
          </w:p>
          <w:p w:rsidR="00000000" w:rsidRPr="00AD1A97" w:rsidP="00AD1A97">
            <w:pPr>
              <w:pStyle w:val="ListBullet2"/>
            </w:pPr>
            <w:r w:rsidRPr="00AD1A97">
              <w:t>manufacturer guidelines (instructions, specifications or checklists) for the purpose of the Performance Assessment</w:t>
            </w:r>
          </w:p>
          <w:p w:rsidR="00000000" w:rsidRPr="00AD1A97" w:rsidP="00AD1A97">
            <w:pPr>
              <w:pStyle w:val="ListBullet2"/>
            </w:pPr>
            <w:r w:rsidRPr="00AD1A97">
              <w:t>safe work method statement (SWMS), as required</w:t>
            </w:r>
          </w:p>
          <w:p w:rsidR="00000000" w:rsidRPr="00AD1A97" w:rsidP="00AD1A97">
            <w:pPr>
              <w:pStyle w:val="ListBullet2"/>
            </w:pPr>
            <w:r w:rsidRPr="00AD1A97">
              <w:t>service logbook</w:t>
            </w:r>
          </w:p>
          <w:p w:rsidR="00000000" w:rsidRPr="00AD1A97" w:rsidP="00AD1A97">
            <w:pPr>
              <w:pStyle w:val="ListBullet2"/>
            </w:pPr>
            <w:r w:rsidRPr="00AD1A97">
              <w:t>signage and labels</w:t>
            </w:r>
          </w:p>
          <w:p w:rsidR="00000000" w:rsidRPr="00AD1A97" w:rsidP="00AD1A97">
            <w:pPr>
              <w:pStyle w:val="ListBullet2"/>
            </w:pPr>
            <w:r w:rsidRPr="00AD1A97">
              <w:t xml:space="preserve">workplace procedures (work instructions, operating </w:t>
            </w:r>
            <w:r w:rsidRPr="00AD1A97">
              <w:t>procedures, checklists).</w:t>
            </w:r>
          </w:p>
          <w:p w:rsidR="00000000" w:rsidRPr="00AD1A97" w:rsidP="00AD1A97">
            <w:pPr>
              <w:pStyle w:val="BodyText"/>
            </w:pPr>
          </w:p>
        </w:tc>
      </w:tr>
    </w:tbl>
    <w:p w:rsidR="00F565FE" w:rsidP="00AD1A97">
      <w:pPr>
        <w:pStyle w:val="BodyText"/>
      </w:pPr>
    </w:p>
    <w:p w:rsidR="00F565FE" w:rsidP="00AD1A97">
      <w:pPr>
        <w:pStyle w:val="BodyText"/>
      </w:pPr>
    </w:p>
    <w:p w:rsidR="00000000" w:rsidRPr="00AD1A97" w:rsidP="00AD1A97">
      <w:pPr>
        <w:pStyle w:val="Heading1"/>
      </w:pPr>
      <w:bookmarkStart w:id="5" w:name="O_829311"/>
      <w:bookmarkEnd w:id="5"/>
      <w:r w:rsidRPr="00AD1A97">
        <w:t>Links</w:t>
      </w:r>
    </w:p>
    <w:p w:rsidR="00000000" w:rsidRPr="00AD1A97" w:rsidP="00AD1A97">
      <w:pPr>
        <w:pStyle w:val="BodyText"/>
      </w:pPr>
      <w:r w:rsidRPr="00AD1A97">
        <w:t>Companion Volume implementation guides are found in VETNet - https://vetnet.education.gov.au/Pages/TrainingDocs.aspx?q=df441c6e-213d-43e3-874c-0b3f7036d851</w:t>
      </w:r>
    </w:p>
    <w:p w:rsidR="00000000" w:rsidRPr="00AD1A97" w:rsidP="00AD1A97"/>
    <w:sectPr w:rsidSect="00AD1A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A97" w:rsidRPr="00F565FE" w:rsidP="00F56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FE" w:rsidP="00AD1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565FE" w:rsidP="00AD1A9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65FE" w:rsidP="00AD1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A97" w:rsidRPr="00F565FE" w:rsidP="00F565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FE" w:rsidRPr="002D2AF8" w:rsidP="00AD1A97">
    <w:pPr>
      <w:pStyle w:val="Header"/>
      <w:framePr w:wrap="around"/>
    </w:pPr>
    <w:r>
      <w:fldChar w:fldCharType="begin"/>
    </w:r>
    <w:r>
      <w:instrText xml:space="preserve"> TITLE   \* MERGEFORMAT </w:instrText>
    </w:r>
    <w:r>
      <w:fldChar w:fldCharType="separate"/>
    </w:r>
    <w:r>
      <w:t>Assessment Requirements for TLILIC3003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2018</w:t>
    </w:r>
    <w:r>
      <w:fldChar w:fldCharType="end"/>
    </w:r>
  </w:p>
  <w:p w:rsidR="00F565FE" w:rsidP="00AD1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09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E8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A3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A97"/>
    <w:pPr>
      <w:spacing w:before="360" w:after="60"/>
      <w:outlineLvl w:val="0"/>
    </w:pPr>
    <w:rPr>
      <w:sz w:val="32"/>
    </w:rPr>
  </w:style>
  <w:style w:type="paragraph" w:styleId="Heading2">
    <w:name w:val="heading 2"/>
    <w:basedOn w:val="HeadingBase"/>
    <w:next w:val="BodyText"/>
    <w:link w:val="Heading2Char"/>
    <w:qFormat/>
    <w:rsid w:val="00AD1A97"/>
    <w:pPr>
      <w:keepLines/>
      <w:spacing w:before="240" w:after="120"/>
      <w:outlineLvl w:val="1"/>
    </w:pPr>
    <w:rPr>
      <w:sz w:val="28"/>
      <w:szCs w:val="40"/>
    </w:rPr>
  </w:style>
  <w:style w:type="paragraph" w:styleId="Heading3">
    <w:name w:val="heading 3"/>
    <w:basedOn w:val="HeadingBase"/>
    <w:next w:val="BodyText"/>
    <w:link w:val="Heading3Char"/>
    <w:qFormat/>
    <w:rsid w:val="00AD1A97"/>
    <w:pPr>
      <w:spacing w:before="180" w:after="120"/>
      <w:outlineLvl w:val="2"/>
    </w:pPr>
    <w:rPr>
      <w:spacing w:val="-10"/>
      <w:kern w:val="32"/>
    </w:rPr>
  </w:style>
  <w:style w:type="paragraph" w:styleId="Heading4">
    <w:name w:val="heading 4"/>
    <w:basedOn w:val="HeadingBase"/>
    <w:next w:val="BodyText"/>
    <w:link w:val="Heading4Char"/>
    <w:qFormat/>
    <w:rsid w:val="00AD1A97"/>
    <w:pPr>
      <w:spacing w:before="160" w:after="120"/>
      <w:outlineLvl w:val="3"/>
    </w:pPr>
    <w:rPr>
      <w:sz w:val="22"/>
    </w:rPr>
  </w:style>
  <w:style w:type="paragraph" w:styleId="Heading5">
    <w:name w:val="heading 5"/>
    <w:basedOn w:val="HeadingBase"/>
    <w:next w:val="Normal"/>
    <w:link w:val="Heading5Char"/>
    <w:qFormat/>
    <w:rsid w:val="00AD1A97"/>
    <w:pPr>
      <w:spacing w:before="80"/>
      <w:outlineLvl w:val="4"/>
    </w:pPr>
    <w:rPr>
      <w:color w:val="918585"/>
      <w:sz w:val="20"/>
    </w:rPr>
  </w:style>
  <w:style w:type="paragraph" w:styleId="Heading6">
    <w:name w:val="heading 6"/>
    <w:basedOn w:val="HeadingBase"/>
    <w:next w:val="Normal"/>
    <w:link w:val="Heading6Char"/>
    <w:qFormat/>
    <w:rsid w:val="00AD1A97"/>
    <w:pPr>
      <w:spacing w:before="60"/>
      <w:outlineLvl w:val="5"/>
    </w:pPr>
    <w:rPr>
      <w:color w:val="918585"/>
      <w:sz w:val="20"/>
    </w:rPr>
  </w:style>
  <w:style w:type="paragraph" w:styleId="Heading7">
    <w:name w:val="heading 7"/>
    <w:basedOn w:val="Normal"/>
    <w:next w:val="Normal"/>
    <w:link w:val="Heading7Char"/>
    <w:qFormat/>
    <w:rsid w:val="00AD1A97"/>
    <w:pPr>
      <w:ind w:left="720"/>
      <w:outlineLvl w:val="6"/>
    </w:pPr>
    <w:rPr>
      <w:i/>
    </w:rPr>
  </w:style>
  <w:style w:type="paragraph" w:styleId="Heading8">
    <w:name w:val="heading 8"/>
    <w:basedOn w:val="Normal"/>
    <w:next w:val="Normal"/>
    <w:link w:val="Heading8Char"/>
    <w:qFormat/>
    <w:rsid w:val="00AD1A97"/>
    <w:pPr>
      <w:ind w:left="720"/>
      <w:outlineLvl w:val="7"/>
    </w:pPr>
    <w:rPr>
      <w:i/>
    </w:rPr>
  </w:style>
  <w:style w:type="paragraph" w:styleId="Heading9">
    <w:name w:val="heading 9"/>
    <w:basedOn w:val="Normal"/>
    <w:next w:val="Normal"/>
    <w:link w:val="Heading9Char"/>
    <w:qFormat/>
    <w:rsid w:val="00AD1A97"/>
    <w:pPr>
      <w:ind w:left="720"/>
      <w:outlineLvl w:val="8"/>
    </w:pPr>
    <w:rPr>
      <w:i/>
    </w:rPr>
  </w:style>
  <w:style w:type="character" w:default="1" w:styleId="DefaultParagraphFont">
    <w:name w:val="Default Paragraph Font"/>
    <w:uiPriority w:val="1"/>
    <w:unhideWhenUsed/>
    <w:rsid w:val="00AD1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A97"/>
  </w:style>
  <w:style w:type="character" w:customStyle="1" w:styleId="Heading1Char">
    <w:name w:val="Heading 1 Char"/>
    <w:basedOn w:val="DefaultParagraphFont"/>
    <w:link w:val="Heading1"/>
    <w:rsid w:val="00AD1A97"/>
    <w:rPr>
      <w:rFonts w:ascii="Times New Roman" w:eastAsia="Times New Roman" w:hAnsi="Times New Roman" w:cs="Times New Roman"/>
      <w:b/>
      <w:sz w:val="32"/>
      <w:szCs w:val="20"/>
      <w:lang w:eastAsia="en-US"/>
    </w:rPr>
  </w:style>
  <w:style w:type="paragraph" w:styleId="BodyText">
    <w:name w:val="Body Text"/>
    <w:basedOn w:val="Normal"/>
    <w:link w:val="BodyTextChar"/>
    <w:rsid w:val="00AD1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A97"/>
    <w:rPr>
      <w:rFonts w:ascii="Times New Roman" w:eastAsia="Times New Roman" w:hAnsi="Times New Roman" w:cs="Times New Roman"/>
      <w:sz w:val="24"/>
      <w:lang w:eastAsia="en-US"/>
    </w:rPr>
  </w:style>
  <w:style w:type="paragraph" w:styleId="ListBullet">
    <w:name w:val="List Bullet"/>
    <w:basedOn w:val="List"/>
    <w:rsid w:val="00AD1A97"/>
    <w:pPr>
      <w:numPr>
        <w:numId w:val="13"/>
      </w:numPr>
      <w:tabs>
        <w:tab w:val="clear" w:pos="340"/>
      </w:tabs>
      <w:spacing w:before="40" w:after="40"/>
    </w:pPr>
  </w:style>
  <w:style w:type="character" w:customStyle="1" w:styleId="SpecialBold">
    <w:name w:val="Special Bold"/>
    <w:basedOn w:val="DefaultParagraphFont"/>
    <w:rsid w:val="00AD1A97"/>
    <w:rPr>
      <w:b/>
      <w:spacing w:val="0"/>
    </w:rPr>
  </w:style>
  <w:style w:type="paragraph" w:styleId="ListBullet2">
    <w:name w:val="List Bullet 2"/>
    <w:basedOn w:val="List2"/>
    <w:rsid w:val="00AD1A97"/>
    <w:pPr>
      <w:numPr>
        <w:numId w:val="14"/>
      </w:numPr>
      <w:tabs>
        <w:tab w:val="clear" w:pos="680"/>
      </w:tabs>
    </w:pPr>
  </w:style>
  <w:style w:type="character" w:styleId="Emphasis">
    <w:name w:val="Emphasis"/>
    <w:basedOn w:val="DefaultParagraphFont"/>
    <w:qFormat/>
    <w:rsid w:val="00AD1A97"/>
    <w:rPr>
      <w:i/>
    </w:rPr>
  </w:style>
  <w:style w:type="paragraph" w:customStyle="1" w:styleId="SuperHeading">
    <w:name w:val="SuperHeading"/>
    <w:basedOn w:val="Normal"/>
    <w:rsid w:val="00AD1A97"/>
    <w:pPr>
      <w:spacing w:before="240" w:after="120"/>
      <w:outlineLvl w:val="0"/>
    </w:pPr>
    <w:rPr>
      <w:rFonts w:ascii="Times New Roman" w:hAnsi="Times New Roman"/>
      <w:b/>
      <w:sz w:val="32"/>
    </w:rPr>
  </w:style>
  <w:style w:type="paragraph" w:customStyle="1" w:styleId="AllowPageBreak">
    <w:name w:val="AllowPageBreak"/>
    <w:rsid w:val="00AD1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A97"/>
    <w:rPr>
      <w:rFonts w:ascii="Courier New" w:eastAsia="Times New Roman" w:hAnsi="Courier New" w:cs="Times New Roman"/>
      <w:i/>
      <w:szCs w:val="20"/>
      <w:lang w:eastAsia="en-US"/>
    </w:rPr>
  </w:style>
  <w:style w:type="paragraph" w:customStyle="1" w:styleId="HeadingBase">
    <w:name w:val="Heading Base"/>
    <w:rsid w:val="00AD1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A97"/>
    <w:pPr>
      <w:tabs>
        <w:tab w:val="right" w:leader="dot" w:pos="9072"/>
      </w:tabs>
      <w:ind w:left="567"/>
    </w:pPr>
    <w:rPr>
      <w:szCs w:val="22"/>
    </w:rPr>
  </w:style>
  <w:style w:type="paragraph" w:customStyle="1" w:styleId="TOCBase">
    <w:name w:val="TOC Base"/>
    <w:rsid w:val="00AD1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A97"/>
    <w:pPr>
      <w:tabs>
        <w:tab w:val="right" w:leader="dot" w:pos="9072"/>
      </w:tabs>
      <w:spacing w:before="40" w:after="40"/>
      <w:ind w:left="284"/>
    </w:pPr>
    <w:rPr>
      <w:rFonts w:ascii="Times New Roman" w:hAnsi="Times New Roman"/>
    </w:rPr>
  </w:style>
  <w:style w:type="paragraph" w:styleId="TOC1">
    <w:name w:val="toc 1"/>
    <w:basedOn w:val="TOCBase"/>
    <w:next w:val="Normal"/>
    <w:rsid w:val="00AD1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A97"/>
    <w:rPr>
      <w:rFonts w:ascii="Times New Roman" w:eastAsia="Times New Roman" w:hAnsi="Times New Roman" w:cs="Times New Roman"/>
      <w:sz w:val="16"/>
      <w:lang w:eastAsia="en-US"/>
    </w:rPr>
  </w:style>
  <w:style w:type="paragraph" w:styleId="Title">
    <w:name w:val="Title"/>
    <w:basedOn w:val="HeadingBase"/>
    <w:link w:val="TitleChar"/>
    <w:qFormat/>
    <w:rsid w:val="00AD1A97"/>
    <w:pPr>
      <w:spacing w:before="5040"/>
      <w:jc w:val="center"/>
    </w:pPr>
    <w:rPr>
      <w:sz w:val="48"/>
      <w:szCs w:val="72"/>
      <w:lang w:val="en-US"/>
    </w:rPr>
  </w:style>
  <w:style w:type="character" w:customStyle="1" w:styleId="TitleChar">
    <w:name w:val="Title Char"/>
    <w:basedOn w:val="DefaultParagraphFont"/>
    <w:link w:val="Title"/>
    <w:rsid w:val="00AD1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A97"/>
    <w:pPr>
      <w:tabs>
        <w:tab w:val="left" w:pos="3600"/>
        <w:tab w:val="left" w:pos="3958"/>
      </w:tabs>
    </w:pPr>
  </w:style>
  <w:style w:type="paragraph" w:styleId="List">
    <w:name w:val="List"/>
    <w:basedOn w:val="BodyText"/>
    <w:next w:val="BodyText"/>
    <w:rsid w:val="00AD1A97"/>
    <w:pPr>
      <w:tabs>
        <w:tab w:val="left" w:pos="340"/>
      </w:tabs>
      <w:spacing w:before="60" w:after="60"/>
      <w:ind w:left="340" w:hanging="340"/>
    </w:pPr>
  </w:style>
  <w:style w:type="paragraph" w:customStyle="1" w:styleId="Note">
    <w:name w:val="Note"/>
    <w:basedOn w:val="BodyText"/>
    <w:rsid w:val="00AD1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A97"/>
    <w:pPr>
      <w:framePr w:wrap="auto" w:hAnchor="text" w:y="6049"/>
    </w:pPr>
    <w:rPr>
      <w:color w:val="000000"/>
      <w:sz w:val="40"/>
    </w:rPr>
  </w:style>
  <w:style w:type="paragraph" w:customStyle="1" w:styleId="TOCTitle">
    <w:name w:val="TOCTitle"/>
    <w:basedOn w:val="Heading1"/>
    <w:rsid w:val="00AD1A97"/>
    <w:pPr>
      <w:spacing w:after="240"/>
      <w:jc w:val="center"/>
      <w:outlineLvl w:val="9"/>
    </w:pPr>
    <w:rPr>
      <w:caps/>
    </w:rPr>
  </w:style>
  <w:style w:type="paragraph" w:customStyle="1" w:styleId="Version">
    <w:name w:val="Version"/>
    <w:rsid w:val="00AD1A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A97"/>
    <w:pPr>
      <w:keepNext w:val="0"/>
      <w:tabs>
        <w:tab w:val="right" w:pos="4176"/>
      </w:tabs>
      <w:ind w:left="198" w:hanging="198"/>
    </w:pPr>
    <w:rPr>
      <w:rFonts w:ascii="Garamond" w:hAnsi="Garamond"/>
    </w:rPr>
  </w:style>
  <w:style w:type="paragraph" w:styleId="IndexHeading">
    <w:name w:val="index heading"/>
    <w:basedOn w:val="Normal"/>
    <w:next w:val="Index1"/>
    <w:semiHidden/>
    <w:rsid w:val="00AD1A97"/>
    <w:pPr>
      <w:spacing w:before="120" w:after="120"/>
    </w:pPr>
    <w:rPr>
      <w:rFonts w:ascii="Arial" w:hAnsi="Arial"/>
      <w:b/>
      <w:color w:val="918585"/>
      <w:sz w:val="24"/>
    </w:rPr>
  </w:style>
  <w:style w:type="paragraph" w:styleId="Header">
    <w:name w:val="header"/>
    <w:basedOn w:val="Normal"/>
    <w:link w:val="HeaderChar"/>
    <w:rsid w:val="00AD1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A97"/>
    <w:rPr>
      <w:rFonts w:ascii="Times New Roman" w:eastAsia="Times New Roman" w:hAnsi="Times New Roman" w:cs="Times New Roman"/>
      <w:sz w:val="16"/>
      <w:szCs w:val="20"/>
      <w:lang w:val="en-GB" w:eastAsia="en-US"/>
    </w:rPr>
  </w:style>
  <w:style w:type="paragraph" w:customStyle="1" w:styleId="Chapter">
    <w:name w:val="Chapter"/>
    <w:basedOn w:val="Normal"/>
    <w:rsid w:val="00AD1A97"/>
    <w:pPr>
      <w:spacing w:before="240"/>
    </w:pPr>
    <w:rPr>
      <w:rFonts w:ascii="Times New Roman" w:hAnsi="Times New Roman"/>
      <w:smallCaps/>
      <w:spacing w:val="80"/>
      <w:sz w:val="28"/>
    </w:rPr>
  </w:style>
  <w:style w:type="paragraph" w:customStyle="1" w:styleId="InChapter">
    <w:name w:val="InChapter"/>
    <w:basedOn w:val="Heading3"/>
    <w:rsid w:val="00AD1A97"/>
    <w:pPr>
      <w:spacing w:after="240"/>
      <w:outlineLvl w:val="9"/>
    </w:pPr>
    <w:rPr>
      <w:noProof/>
    </w:rPr>
  </w:style>
  <w:style w:type="paragraph" w:styleId="Index2">
    <w:name w:val="index 2"/>
    <w:basedOn w:val="Normal"/>
    <w:next w:val="Normal"/>
    <w:semiHidden/>
    <w:rsid w:val="00AD1A97"/>
    <w:pPr>
      <w:tabs>
        <w:tab w:val="right" w:pos="4176"/>
      </w:tabs>
      <w:ind w:left="568" w:hanging="284"/>
    </w:pPr>
    <w:rPr>
      <w:rFonts w:ascii="Garamond" w:hAnsi="Garamond"/>
    </w:rPr>
  </w:style>
  <w:style w:type="paragraph" w:customStyle="1" w:styleId="Byline">
    <w:name w:val="Byline"/>
    <w:rsid w:val="00AD1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A97"/>
    <w:pPr>
      <w:tabs>
        <w:tab w:val="clear" w:pos="3600"/>
        <w:tab w:val="clear" w:pos="3958"/>
      </w:tabs>
      <w:jc w:val="right"/>
    </w:pPr>
  </w:style>
  <w:style w:type="paragraph" w:styleId="Caption">
    <w:name w:val="caption"/>
    <w:basedOn w:val="BodyText"/>
    <w:next w:val="Normal"/>
    <w:qFormat/>
    <w:rsid w:val="00AD1A97"/>
    <w:pPr>
      <w:framePr w:w="2268" w:hSpace="181" w:vSpace="181" w:wrap="around" w:vAnchor="text" w:hAnchor="page" w:x="1135" w:y="285" w:anchorLock="1"/>
    </w:pPr>
    <w:rPr>
      <w:i/>
    </w:rPr>
  </w:style>
  <w:style w:type="paragraph" w:customStyle="1" w:styleId="MiniTOCTitle">
    <w:name w:val="MiniTOCTitle"/>
    <w:basedOn w:val="Heading4"/>
    <w:rsid w:val="00AD1A97"/>
    <w:pPr>
      <w:spacing w:before="240"/>
      <w:outlineLvl w:val="9"/>
    </w:pPr>
    <w:rPr>
      <w:noProof/>
      <w:sz w:val="24"/>
    </w:rPr>
  </w:style>
  <w:style w:type="paragraph" w:customStyle="1" w:styleId="MiniTOCItem">
    <w:name w:val="MiniTOCItem"/>
    <w:basedOn w:val="ListBullet"/>
    <w:rsid w:val="00AD1A97"/>
    <w:pPr>
      <w:numPr>
        <w:numId w:val="0"/>
      </w:numPr>
      <w:tabs>
        <w:tab w:val="right" w:leader="dot" w:pos="6521"/>
      </w:tabs>
      <w:spacing w:before="0" w:after="0"/>
    </w:pPr>
  </w:style>
  <w:style w:type="paragraph" w:customStyle="1" w:styleId="TOFTitle">
    <w:name w:val="TOFTitle"/>
    <w:basedOn w:val="TOCTitle"/>
    <w:rsid w:val="00AD1A97"/>
  </w:style>
  <w:style w:type="paragraph" w:styleId="TableofFigures">
    <w:name w:val="table of figures"/>
    <w:basedOn w:val="Normal"/>
    <w:next w:val="Normal"/>
    <w:semiHidden/>
    <w:rsid w:val="00AD1A97"/>
    <w:pPr>
      <w:tabs>
        <w:tab w:val="right" w:leader="dot" w:pos="9072"/>
      </w:tabs>
      <w:ind w:left="970" w:hanging="403"/>
    </w:pPr>
    <w:rPr>
      <w:rFonts w:ascii="Times New Roman" w:hAnsi="Times New Roman"/>
      <w:b/>
    </w:rPr>
  </w:style>
  <w:style w:type="paragraph" w:styleId="ListNumber">
    <w:name w:val="List Number"/>
    <w:basedOn w:val="List"/>
    <w:rsid w:val="00AD1A97"/>
    <w:pPr>
      <w:numPr>
        <w:numId w:val="11"/>
      </w:numPr>
    </w:pPr>
  </w:style>
  <w:style w:type="character" w:customStyle="1" w:styleId="WingdingSymbols">
    <w:name w:val="Wingding Symbols"/>
    <w:rsid w:val="00AD1A97"/>
    <w:rPr>
      <w:rFonts w:ascii="Wingdings" w:hAnsi="Wingdings"/>
    </w:rPr>
  </w:style>
  <w:style w:type="paragraph" w:customStyle="1" w:styleId="TableHeading">
    <w:name w:val="Table Heading"/>
    <w:basedOn w:val="HeadingBase"/>
    <w:rsid w:val="00AD1A97"/>
    <w:pPr>
      <w:keepLines/>
      <w:pBdr>
        <w:bottom w:val="single" w:sz="6" w:space="1" w:color="918585"/>
      </w:pBdr>
      <w:spacing w:before="240"/>
    </w:pPr>
  </w:style>
  <w:style w:type="character" w:customStyle="1" w:styleId="HotSpot">
    <w:name w:val="HotSpot"/>
    <w:rsid w:val="00AD1A97"/>
    <w:rPr>
      <w:color w:val="0033CC"/>
      <w:u w:val="none"/>
    </w:rPr>
  </w:style>
  <w:style w:type="paragraph" w:customStyle="1" w:styleId="BodyTextRight">
    <w:name w:val="Body Text Right"/>
    <w:basedOn w:val="BodyText"/>
    <w:rsid w:val="00AD1A97"/>
    <w:pPr>
      <w:spacing w:before="0" w:after="0"/>
      <w:jc w:val="right"/>
    </w:pPr>
  </w:style>
  <w:style w:type="paragraph" w:styleId="Index3">
    <w:name w:val="index 3"/>
    <w:basedOn w:val="ListNumber2"/>
    <w:next w:val="Normal"/>
    <w:semiHidden/>
    <w:rsid w:val="00AD1A97"/>
    <w:pPr>
      <w:numPr>
        <w:numId w:val="0"/>
      </w:numPr>
      <w:tabs>
        <w:tab w:val="right" w:leader="dot" w:pos="4176"/>
      </w:tabs>
    </w:pPr>
  </w:style>
  <w:style w:type="paragraph" w:styleId="ListNumber2">
    <w:name w:val="List Number 2"/>
    <w:basedOn w:val="List2"/>
    <w:rsid w:val="00AD1A97"/>
    <w:pPr>
      <w:numPr>
        <w:numId w:val="10"/>
      </w:numPr>
      <w:tabs>
        <w:tab w:val="clear" w:pos="1060"/>
      </w:tabs>
    </w:pPr>
  </w:style>
  <w:style w:type="paragraph" w:customStyle="1" w:styleId="MarginNote">
    <w:name w:val="Margin Note"/>
    <w:basedOn w:val="BodyText"/>
    <w:rsid w:val="00AD1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A97"/>
    <w:rPr>
      <w:sz w:val="32"/>
    </w:rPr>
  </w:style>
  <w:style w:type="paragraph" w:customStyle="1" w:styleId="HeadingProcedure">
    <w:name w:val="Heading Procedure"/>
    <w:basedOn w:val="HeadingBase"/>
    <w:next w:val="Normal"/>
    <w:rsid w:val="00AD1A97"/>
    <w:pPr>
      <w:tabs>
        <w:tab w:val="left" w:pos="0"/>
      </w:tabs>
      <w:spacing w:before="120" w:after="60"/>
    </w:pPr>
    <w:rPr>
      <w:i/>
      <w:color w:val="918585"/>
      <w:sz w:val="22"/>
    </w:rPr>
  </w:style>
  <w:style w:type="paragraph" w:customStyle="1" w:styleId="TableBodyText">
    <w:name w:val="Table Body Text"/>
    <w:basedOn w:val="BodyText"/>
    <w:rsid w:val="00AD1A97"/>
    <w:pPr>
      <w:spacing w:before="60" w:after="60"/>
    </w:pPr>
  </w:style>
  <w:style w:type="paragraph" w:styleId="ListContinue">
    <w:name w:val="List Continue"/>
    <w:basedOn w:val="List"/>
    <w:rsid w:val="00AD1A97"/>
    <w:pPr>
      <w:ind w:firstLine="0"/>
    </w:pPr>
  </w:style>
  <w:style w:type="paragraph" w:customStyle="1" w:styleId="ListNote">
    <w:name w:val="List Note"/>
    <w:basedOn w:val="List"/>
    <w:rsid w:val="00AD1A97"/>
    <w:pPr>
      <w:pBdr>
        <w:top w:val="single" w:sz="6" w:space="2" w:color="918585"/>
        <w:bottom w:val="single" w:sz="6" w:space="2" w:color="918585"/>
      </w:pBdr>
      <w:tabs>
        <w:tab w:val="left" w:pos="1021"/>
      </w:tabs>
      <w:ind w:firstLine="0"/>
    </w:pPr>
  </w:style>
  <w:style w:type="paragraph" w:customStyle="1" w:styleId="Warning">
    <w:name w:val="Warning"/>
    <w:basedOn w:val="BodyText"/>
    <w:rsid w:val="00AD1A97"/>
    <w:pPr>
      <w:shd w:val="clear" w:color="auto" w:fill="D9D9D9"/>
      <w:tabs>
        <w:tab w:val="left" w:pos="992"/>
      </w:tabs>
      <w:ind w:left="119" w:right="119"/>
    </w:pPr>
    <w:rPr>
      <w:sz w:val="20"/>
    </w:rPr>
  </w:style>
  <w:style w:type="paragraph" w:customStyle="1" w:styleId="MarginIcons">
    <w:name w:val="Margin Icons"/>
    <w:basedOn w:val="BodyText"/>
    <w:rsid w:val="00AD1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A97"/>
    <w:rPr>
      <w:rFonts w:ascii="Courier New" w:hAnsi="Courier New"/>
    </w:rPr>
  </w:style>
  <w:style w:type="paragraph" w:customStyle="1" w:styleId="NoteBullet">
    <w:name w:val="Note Bullet"/>
    <w:basedOn w:val="Note"/>
    <w:rsid w:val="00AD1A97"/>
    <w:pPr>
      <w:tabs>
        <w:tab w:val="clear" w:pos="680"/>
      </w:tabs>
      <w:spacing w:before="60" w:after="60"/>
    </w:pPr>
  </w:style>
  <w:style w:type="paragraph" w:customStyle="1" w:styleId="SubHeading2">
    <w:name w:val="SubHeading2"/>
    <w:basedOn w:val="HeadingBase"/>
    <w:rsid w:val="00AD1A97"/>
    <w:pPr>
      <w:spacing w:before="240" w:after="60"/>
    </w:pPr>
    <w:rPr>
      <w:sz w:val="20"/>
    </w:rPr>
  </w:style>
  <w:style w:type="paragraph" w:customStyle="1" w:styleId="SubHeading1">
    <w:name w:val="SubHeading1"/>
    <w:basedOn w:val="HeadingBase"/>
    <w:rsid w:val="00AD1A97"/>
    <w:pPr>
      <w:spacing w:before="240" w:after="60"/>
    </w:pPr>
    <w:rPr>
      <w:color w:val="918585"/>
      <w:sz w:val="22"/>
    </w:rPr>
  </w:style>
  <w:style w:type="paragraph" w:customStyle="1" w:styleId="SideHeading">
    <w:name w:val="Side Heading"/>
    <w:basedOn w:val="HeadingBase"/>
    <w:rsid w:val="00AD1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A97"/>
    <w:pPr>
      <w:numPr>
        <w:numId w:val="12"/>
      </w:numPr>
    </w:pPr>
  </w:style>
  <w:style w:type="paragraph" w:styleId="PlainText">
    <w:name w:val="Plain Text"/>
    <w:basedOn w:val="Normal"/>
    <w:link w:val="PlainTextChar"/>
    <w:rsid w:val="00AD1A97"/>
    <w:rPr>
      <w:sz w:val="20"/>
    </w:rPr>
  </w:style>
  <w:style w:type="character" w:customStyle="1" w:styleId="PlainTextChar">
    <w:name w:val="Plain Text Char"/>
    <w:basedOn w:val="DefaultParagraphFont"/>
    <w:link w:val="PlainText"/>
    <w:rsid w:val="00AD1A97"/>
    <w:rPr>
      <w:rFonts w:ascii="Courier New" w:eastAsia="Times New Roman" w:hAnsi="Courier New" w:cs="Times New Roman"/>
      <w:sz w:val="20"/>
      <w:szCs w:val="20"/>
      <w:lang w:eastAsia="en-US"/>
    </w:rPr>
  </w:style>
  <w:style w:type="character" w:customStyle="1" w:styleId="MenuOption">
    <w:name w:val="Menu Option"/>
    <w:basedOn w:val="DefaultParagraphFont"/>
    <w:rsid w:val="00AD1A97"/>
    <w:rPr>
      <w:b/>
      <w:smallCaps/>
    </w:rPr>
  </w:style>
  <w:style w:type="paragraph" w:customStyle="1" w:styleId="TableListNumber">
    <w:name w:val="Table List Number"/>
    <w:basedOn w:val="ListNumber"/>
    <w:rsid w:val="00AD1A97"/>
    <w:pPr>
      <w:numPr>
        <w:numId w:val="0"/>
      </w:numPr>
    </w:pPr>
  </w:style>
  <w:style w:type="paragraph" w:styleId="TOC4">
    <w:name w:val="toc 4"/>
    <w:basedOn w:val="TOCBase"/>
    <w:next w:val="Normal"/>
    <w:semiHidden/>
    <w:rsid w:val="00AD1A97"/>
    <w:pPr>
      <w:tabs>
        <w:tab w:val="right" w:leader="dot" w:pos="9071"/>
      </w:tabs>
      <w:ind w:left="1701"/>
    </w:pPr>
  </w:style>
  <w:style w:type="paragraph" w:customStyle="1" w:styleId="ListAlpha">
    <w:name w:val="List Alpha"/>
    <w:basedOn w:val="List"/>
    <w:rsid w:val="00AD1A97"/>
    <w:pPr>
      <w:numPr>
        <w:numId w:val="9"/>
      </w:numPr>
    </w:pPr>
  </w:style>
  <w:style w:type="paragraph" w:customStyle="1" w:styleId="ListAlpha2">
    <w:name w:val="List Alpha 2"/>
    <w:basedOn w:val="List2"/>
    <w:rsid w:val="00AD1A97"/>
    <w:pPr>
      <w:numPr>
        <w:numId w:val="8"/>
      </w:numPr>
    </w:pPr>
  </w:style>
  <w:style w:type="paragraph" w:styleId="List2">
    <w:name w:val="List 2"/>
    <w:basedOn w:val="BodyText"/>
    <w:rsid w:val="00AD1A97"/>
    <w:pPr>
      <w:tabs>
        <w:tab w:val="left" w:pos="680"/>
      </w:tabs>
      <w:spacing w:before="60" w:after="60"/>
      <w:ind w:left="680" w:hanging="340"/>
    </w:pPr>
  </w:style>
  <w:style w:type="paragraph" w:styleId="List3">
    <w:name w:val="List 3"/>
    <w:basedOn w:val="BodyText"/>
    <w:rsid w:val="00AD1A97"/>
    <w:pPr>
      <w:tabs>
        <w:tab w:val="left" w:pos="1021"/>
      </w:tabs>
      <w:spacing w:before="60" w:after="60"/>
      <w:ind w:left="1020" w:hanging="340"/>
    </w:pPr>
  </w:style>
  <w:style w:type="paragraph" w:styleId="List4">
    <w:name w:val="List 4"/>
    <w:basedOn w:val="BodyText"/>
    <w:rsid w:val="00AD1A97"/>
    <w:pPr>
      <w:tabs>
        <w:tab w:val="left" w:pos="1361"/>
      </w:tabs>
      <w:spacing w:before="60" w:after="60"/>
      <w:ind w:left="1361" w:hanging="340"/>
    </w:pPr>
  </w:style>
  <w:style w:type="paragraph" w:styleId="List5">
    <w:name w:val="List 5"/>
    <w:basedOn w:val="BodyText"/>
    <w:rsid w:val="00AD1A97"/>
    <w:pPr>
      <w:tabs>
        <w:tab w:val="left" w:pos="1701"/>
      </w:tabs>
      <w:spacing w:before="60" w:after="60"/>
      <w:ind w:left="1701" w:hanging="340"/>
    </w:pPr>
  </w:style>
  <w:style w:type="paragraph" w:styleId="ListBullet3">
    <w:name w:val="List Bullet 3"/>
    <w:basedOn w:val="List3"/>
    <w:rsid w:val="00AD1A97"/>
    <w:pPr>
      <w:numPr>
        <w:numId w:val="15"/>
      </w:numPr>
      <w:tabs>
        <w:tab w:val="clear" w:pos="1021"/>
      </w:tabs>
      <w:ind w:left="1037" w:hanging="357"/>
    </w:pPr>
  </w:style>
  <w:style w:type="paragraph" w:styleId="ListBullet4">
    <w:name w:val="List Bullet 4"/>
    <w:basedOn w:val="List4"/>
    <w:rsid w:val="00AD1A97"/>
    <w:pPr>
      <w:numPr>
        <w:numId w:val="3"/>
      </w:numPr>
      <w:tabs>
        <w:tab w:val="clear" w:pos="1361"/>
      </w:tabs>
    </w:pPr>
  </w:style>
  <w:style w:type="paragraph" w:styleId="ListBullet5">
    <w:name w:val="List Bullet 5"/>
    <w:basedOn w:val="List5"/>
    <w:rsid w:val="00AD1A97"/>
    <w:pPr>
      <w:numPr>
        <w:numId w:val="4"/>
      </w:numPr>
    </w:pPr>
  </w:style>
  <w:style w:type="paragraph" w:styleId="ListContinue2">
    <w:name w:val="List Continue 2"/>
    <w:basedOn w:val="List2"/>
    <w:rsid w:val="00AD1A97"/>
    <w:pPr>
      <w:ind w:firstLine="0"/>
    </w:pPr>
  </w:style>
  <w:style w:type="paragraph" w:styleId="ListContinue3">
    <w:name w:val="List Continue 3"/>
    <w:basedOn w:val="List3"/>
    <w:rsid w:val="00AD1A97"/>
    <w:pPr>
      <w:ind w:left="1021" w:firstLine="0"/>
    </w:pPr>
  </w:style>
  <w:style w:type="paragraph" w:styleId="ListContinue4">
    <w:name w:val="List Continue 4"/>
    <w:basedOn w:val="List4"/>
    <w:rsid w:val="00AD1A97"/>
    <w:pPr>
      <w:ind w:firstLine="0"/>
    </w:pPr>
  </w:style>
  <w:style w:type="paragraph" w:styleId="ListContinue5">
    <w:name w:val="List Continue 5"/>
    <w:basedOn w:val="List5"/>
    <w:rsid w:val="00AD1A97"/>
    <w:pPr>
      <w:ind w:firstLine="0"/>
    </w:pPr>
  </w:style>
  <w:style w:type="paragraph" w:styleId="ListNumber3">
    <w:name w:val="List Number 3"/>
    <w:basedOn w:val="List3"/>
    <w:rsid w:val="00AD1A97"/>
    <w:pPr>
      <w:numPr>
        <w:numId w:val="5"/>
      </w:numPr>
    </w:pPr>
  </w:style>
  <w:style w:type="paragraph" w:styleId="ListNumber4">
    <w:name w:val="List Number 4"/>
    <w:basedOn w:val="List4"/>
    <w:rsid w:val="00AD1A97"/>
    <w:pPr>
      <w:numPr>
        <w:numId w:val="6"/>
      </w:numPr>
    </w:pPr>
  </w:style>
  <w:style w:type="paragraph" w:styleId="ListNumber5">
    <w:name w:val="List Number 5"/>
    <w:basedOn w:val="List5"/>
    <w:rsid w:val="00AD1A97"/>
    <w:pPr>
      <w:numPr>
        <w:numId w:val="7"/>
      </w:numPr>
    </w:pPr>
  </w:style>
  <w:style w:type="paragraph" w:styleId="BlockText">
    <w:name w:val="Block Text"/>
    <w:basedOn w:val="Normal"/>
    <w:rsid w:val="00AD1A97"/>
    <w:pPr>
      <w:spacing w:after="120"/>
      <w:ind w:left="1440" w:right="1440"/>
    </w:pPr>
  </w:style>
  <w:style w:type="character" w:customStyle="1" w:styleId="Subscript">
    <w:name w:val="Subscript"/>
    <w:basedOn w:val="DefaultParagraphFont"/>
    <w:rsid w:val="00AD1A97"/>
    <w:rPr>
      <w:sz w:val="16"/>
      <w:vertAlign w:val="subscript"/>
    </w:rPr>
  </w:style>
  <w:style w:type="character" w:customStyle="1" w:styleId="Superscript">
    <w:name w:val="Superscript"/>
    <w:basedOn w:val="DefaultParagraphFont"/>
    <w:rsid w:val="00AD1A97"/>
    <w:rPr>
      <w:sz w:val="16"/>
      <w:vertAlign w:val="superscript"/>
    </w:rPr>
  </w:style>
  <w:style w:type="character" w:customStyle="1" w:styleId="Symbols">
    <w:name w:val="Symbols"/>
    <w:basedOn w:val="DefaultParagraphFont"/>
    <w:rsid w:val="00AD1A97"/>
    <w:rPr>
      <w:rFonts w:ascii="Symbol" w:hAnsi="Symbol"/>
    </w:rPr>
  </w:style>
  <w:style w:type="character" w:customStyle="1" w:styleId="MenuOptions">
    <w:name w:val="Menu Options"/>
    <w:basedOn w:val="DefaultParagraphFont"/>
    <w:rsid w:val="00AD1A97"/>
    <w:rPr>
      <w:rFonts w:ascii="Arial Narrow" w:hAnsi="Arial Narrow"/>
      <w:smallCaps/>
    </w:rPr>
  </w:style>
  <w:style w:type="character" w:customStyle="1" w:styleId="Buttons">
    <w:name w:val="Buttons"/>
    <w:basedOn w:val="DefaultParagraphFont"/>
    <w:rsid w:val="00AD1A97"/>
    <w:rPr>
      <w:b/>
    </w:rPr>
  </w:style>
  <w:style w:type="character" w:customStyle="1" w:styleId="Underlined">
    <w:name w:val="Underlined"/>
    <w:basedOn w:val="DefaultParagraphFont"/>
    <w:rsid w:val="00AD1A97"/>
    <w:rPr>
      <w:u w:val="single"/>
    </w:rPr>
  </w:style>
  <w:style w:type="paragraph" w:customStyle="1" w:styleId="TableBodyTextRight">
    <w:name w:val="Table Body Text Right"/>
    <w:basedOn w:val="TableBodyText"/>
    <w:rsid w:val="00AD1A97"/>
    <w:pPr>
      <w:widowControl w:val="0"/>
      <w:autoSpaceDE w:val="0"/>
      <w:autoSpaceDN w:val="0"/>
      <w:adjustRightInd w:val="0"/>
      <w:jc w:val="right"/>
    </w:pPr>
    <w:rPr>
      <w:rFonts w:cs="Arial"/>
      <w:szCs w:val="18"/>
    </w:rPr>
  </w:style>
  <w:style w:type="paragraph" w:customStyle="1" w:styleId="CopyrightText">
    <w:name w:val="Copyright Text"/>
    <w:basedOn w:val="BodyText"/>
    <w:rsid w:val="00AD1A97"/>
    <w:rPr>
      <w:sz w:val="18"/>
    </w:rPr>
  </w:style>
  <w:style w:type="paragraph" w:customStyle="1" w:styleId="BodySmallRight">
    <w:name w:val="Body Small Right"/>
    <w:basedOn w:val="BodyTextRight"/>
    <w:rsid w:val="00AD1A97"/>
    <w:rPr>
      <w:sz w:val="18"/>
      <w:szCs w:val="18"/>
    </w:rPr>
  </w:style>
  <w:style w:type="paragraph" w:customStyle="1" w:styleId="MarginEdition">
    <w:name w:val="Margin Edition"/>
    <w:basedOn w:val="MarginNote"/>
    <w:rsid w:val="00AD1A97"/>
    <w:pPr>
      <w:spacing w:before="0" w:after="0"/>
    </w:pPr>
    <w:rPr>
      <w:rFonts w:ascii="Times New Roman" w:hAnsi="Times New Roman"/>
      <w:color w:val="999999"/>
    </w:rPr>
  </w:style>
  <w:style w:type="paragraph" w:customStyle="1" w:styleId="Spacer">
    <w:name w:val="Spacer"/>
    <w:basedOn w:val="Normal"/>
    <w:rsid w:val="00AD1A97"/>
    <w:rPr>
      <w:sz w:val="2"/>
      <w:szCs w:val="2"/>
    </w:rPr>
  </w:style>
  <w:style w:type="character" w:customStyle="1" w:styleId="Small">
    <w:name w:val="Small"/>
    <w:basedOn w:val="DefaultParagraphFont"/>
    <w:rsid w:val="00AD1A97"/>
    <w:rPr>
      <w:sz w:val="16"/>
    </w:rPr>
  </w:style>
  <w:style w:type="paragraph" w:customStyle="1" w:styleId="WideTable">
    <w:name w:val="Wide Table"/>
    <w:basedOn w:val="Normal"/>
    <w:rsid w:val="00AD1A97"/>
    <w:pPr>
      <w:ind w:left="-1418"/>
    </w:pPr>
    <w:rPr>
      <w:sz w:val="2"/>
      <w:szCs w:val="2"/>
    </w:rPr>
  </w:style>
  <w:style w:type="character" w:styleId="PageNumber">
    <w:name w:val="page number"/>
    <w:basedOn w:val="DefaultParagraphFont"/>
    <w:rsid w:val="00AD1A97"/>
  </w:style>
  <w:style w:type="paragraph" w:styleId="Quote">
    <w:name w:val="Quote"/>
    <w:basedOn w:val="Heading1"/>
    <w:link w:val="QuoteChar"/>
    <w:qFormat/>
    <w:rsid w:val="00AD1A97"/>
    <w:rPr>
      <w:b w:val="0"/>
      <w:sz w:val="72"/>
      <w:szCs w:val="72"/>
      <w:lang w:val="en-NZ"/>
    </w:rPr>
  </w:style>
  <w:style w:type="character" w:customStyle="1" w:styleId="QuoteChar">
    <w:name w:val="Quote Char"/>
    <w:basedOn w:val="DefaultParagraphFont"/>
    <w:link w:val="Quote"/>
    <w:rsid w:val="00AD1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A97"/>
    <w:pPr>
      <w:pageBreakBefore/>
    </w:pPr>
  </w:style>
  <w:style w:type="paragraph" w:customStyle="1" w:styleId="Border">
    <w:name w:val="Border"/>
    <w:basedOn w:val="Normal"/>
    <w:qFormat/>
    <w:rsid w:val="00AD1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A97"/>
    <w:rPr>
      <w:b/>
      <w:bCs/>
      <w:i/>
      <w:iCs/>
      <w:color w:val="auto"/>
    </w:rPr>
  </w:style>
  <w:style w:type="paragraph" w:styleId="IntenseQuote">
    <w:name w:val="Intense Quote"/>
    <w:basedOn w:val="Normal"/>
    <w:next w:val="Normal"/>
    <w:link w:val="IntenseQuoteChar"/>
    <w:uiPriority w:val="30"/>
    <w:qFormat/>
    <w:rsid w:val="00AD1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A97"/>
    <w:rPr>
      <w:smallCaps/>
      <w:color w:val="auto"/>
      <w:u w:val="single"/>
    </w:rPr>
  </w:style>
  <w:style w:type="character" w:styleId="IntenseReference">
    <w:name w:val="Intense Reference"/>
    <w:basedOn w:val="DefaultParagraphFont"/>
    <w:uiPriority w:val="32"/>
    <w:qFormat/>
    <w:rsid w:val="00AD1A97"/>
    <w:rPr>
      <w:b/>
      <w:bCs/>
      <w:smallCaps/>
      <w:color w:val="auto"/>
      <w:spacing w:val="5"/>
      <w:u w:val="single"/>
    </w:rPr>
  </w:style>
  <w:style w:type="paragraph" w:customStyle="1" w:styleId="2ColumnHeading">
    <w:name w:val="2Column Heading"/>
    <w:basedOn w:val="BodyText"/>
    <w:qFormat/>
    <w:rsid w:val="00AD1A97"/>
    <w:pPr>
      <w:spacing w:after="60"/>
      <w:ind w:left="-2268"/>
    </w:pPr>
    <w:rPr>
      <w:b/>
    </w:rPr>
  </w:style>
  <w:style w:type="paragraph" w:customStyle="1" w:styleId="Heading1TOC">
    <w:name w:val="Heading1 TOC"/>
    <w:basedOn w:val="Normal"/>
    <w:qFormat/>
    <w:rsid w:val="00AD1A97"/>
    <w:pPr>
      <w:spacing w:before="240" w:after="120"/>
    </w:pPr>
    <w:rPr>
      <w:rFonts w:ascii="Times New Roman" w:hAnsi="Times New Roman"/>
      <w:b/>
      <w:sz w:val="32"/>
    </w:rPr>
  </w:style>
  <w:style w:type="paragraph" w:customStyle="1" w:styleId="Heading2TOC">
    <w:name w:val="Heading2 TOC"/>
    <w:basedOn w:val="Normal"/>
    <w:qFormat/>
    <w:rsid w:val="00AD1A97"/>
    <w:pPr>
      <w:spacing w:before="240" w:after="60"/>
    </w:pPr>
    <w:rPr>
      <w:rFonts w:ascii="Times New Roman" w:hAnsi="Times New Roman"/>
      <w:b/>
      <w:sz w:val="28"/>
    </w:rPr>
  </w:style>
  <w:style w:type="character" w:customStyle="1" w:styleId="Underline">
    <w:name w:val="Underline"/>
    <w:basedOn w:val="DefaultParagraphFont"/>
    <w:qFormat/>
    <w:rsid w:val="00AD1A97"/>
    <w:rPr>
      <w:u w:val="single"/>
    </w:rPr>
  </w:style>
  <w:style w:type="character" w:customStyle="1" w:styleId="BoldandItalics">
    <w:name w:val="Bold and Italics"/>
    <w:qFormat/>
    <w:rsid w:val="00AD1A97"/>
    <w:rPr>
      <w:b/>
      <w:i/>
      <w:u w:val="none"/>
    </w:rPr>
  </w:style>
  <w:style w:type="paragraph" w:styleId="BalloonText">
    <w:name w:val="Balloon Text"/>
    <w:basedOn w:val="Normal"/>
    <w:link w:val="BalloonTextChar"/>
    <w:rsid w:val="00AD1A97"/>
    <w:rPr>
      <w:rFonts w:ascii="Tahoma" w:hAnsi="Tahoma" w:cs="Tahoma"/>
      <w:sz w:val="16"/>
      <w:szCs w:val="16"/>
    </w:rPr>
  </w:style>
  <w:style w:type="character" w:customStyle="1" w:styleId="BalloonTextChar">
    <w:name w:val="Balloon Text Char"/>
    <w:basedOn w:val="DefaultParagraphFont"/>
    <w:link w:val="BalloonText"/>
    <w:rsid w:val="00AD1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A97"/>
    <w:rPr>
      <w:b/>
      <w:color w:val="660033"/>
      <w:spacing w:val="0"/>
    </w:rPr>
  </w:style>
  <w:style w:type="paragraph" w:customStyle="1" w:styleId="Nameditemlist">
    <w:name w:val="Named item list"/>
    <w:basedOn w:val="BodyText"/>
    <w:qFormat/>
    <w:rsid w:val="00AD1A97"/>
    <w:pPr>
      <w:tabs>
        <w:tab w:val="left" w:pos="2835"/>
      </w:tabs>
      <w:ind w:left="2835" w:hanging="2835"/>
    </w:pPr>
  </w:style>
  <w:style w:type="paragraph" w:customStyle="1" w:styleId="BodyTextnopadding">
    <w:name w:val="Body Text no padding"/>
    <w:basedOn w:val="BodyText"/>
    <w:qFormat/>
    <w:rsid w:val="00AD1A9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7437</Characters>
  <Application>Microsoft Office Word</Application>
  <DocSecurity>0</DocSecurity>
  <Lines>184</Lines>
  <Paragraphs>147</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TLILIC3003 Licence to operate a bridge and gantry crane</dc:title>
  <dc:subject>Approved</dc:subject>
  <dc:creator>Australian Industry Standards</dc:creator>
  <cp:keywords>Release: 1</cp:keywords>
  <dc:description>Review Date: 12 April 2008</dc:description>
  <cp:lastModifiedBy>HSD_TPCMSd.prod</cp:lastModifiedBy>
  <cp:revision>3</cp:revision>
  <dcterms:created xsi:type="dcterms:W3CDTF">2018-07-04T08:36:00Z</dcterms:created>
  <dcterms:modified xsi:type="dcterms:W3CDTF">2018-07-04T08:36:00Z</dcterms:modified>
</cp:coreProperties>
</file>