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2BC" w:rsidP="008C2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TLILIC2016 Licence to drive a heavy rigid vehicle</w:t>
      </w:r>
      <w:r>
        <w:fldChar w:fldCharType="end"/>
      </w:r>
    </w:p>
    <w:p w:rsidR="008C22BC" w:rsidP="008C22BC">
      <w:pPr>
        <w:pStyle w:val="Version"/>
        <w:sectPr w:rsidSect="00547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72DF" w:rsidP="005472DF">
      <w:pPr>
        <w:pStyle w:val="SuperHeading"/>
      </w:pPr>
      <w:r w:rsidRPr="005472DF">
        <w:t>TLILIC2016 Licence to drive a heavy rigid vehicle</w:t>
      </w:r>
    </w:p>
    <w:p w:rsidR="00000000" w:rsidRPr="005472DF" w:rsidP="005472DF">
      <w:pPr>
        <w:pStyle w:val="Heading1"/>
      </w:pPr>
      <w:bookmarkStart w:id="1" w:name="O_940207"/>
      <w:bookmarkEnd w:id="1"/>
      <w:r w:rsidRPr="005472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Release 2.</w:t>
            </w:r>
            <w:r w:rsidRPr="005472DF">
              <w:t xml:space="preserve"> This is the second release of this unit of competency in the TLI Transport and Logistics Training Package.</w:t>
            </w:r>
          </w:p>
          <w:p w:rsidR="00000000" w:rsidRPr="005472DF" w:rsidP="005472DF">
            <w:pPr>
              <w:pStyle w:val="BodyText"/>
            </w:pPr>
            <w:r w:rsidRPr="005472DF">
              <w:t>Modification of assessment conditions to remove an implementation barrier.</w:t>
            </w:r>
          </w:p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Release 1.</w:t>
            </w:r>
            <w:r w:rsidRPr="005472DF">
              <w:t xml:space="preserve"> This is the first relea</w:t>
            </w:r>
            <w:r w:rsidRPr="005472DF">
              <w:t>se of this unit of competency in the TLI Transport and Logistics Training Package.</w:t>
            </w:r>
          </w:p>
        </w:tc>
      </w:tr>
    </w:tbl>
    <w:p w:rsidR="00000000" w:rsidRPr="005472DF" w:rsidP="005472DF">
      <w:pPr>
        <w:pStyle w:val="NoPaddingFontSize1"/>
      </w:pPr>
    </w:p>
    <w:p w:rsidR="00000000" w:rsidRPr="005472DF" w:rsidP="005472DF">
      <w:pPr>
        <w:pStyle w:val="AllowPageBreak"/>
      </w:pPr>
    </w:p>
    <w:p w:rsidR="00000000" w:rsidRPr="005472DF" w:rsidP="005472DF">
      <w:pPr>
        <w:pStyle w:val="Heading1"/>
      </w:pPr>
      <w:bookmarkStart w:id="2" w:name="O_940206"/>
      <w:bookmarkEnd w:id="2"/>
      <w:r w:rsidRPr="005472D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472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t>This unit involves the skills and knowledge required to obtain a licence to drive a heavy rigid vehicle. It includes systematically and effici</w:t>
            </w:r>
            <w:r w:rsidRPr="005472DF">
              <w:t>ently controlling all vehicle functions, monitoring traffic and road conditions, managing vehicle condition and performance, and effectively managing hazardous situations.</w:t>
            </w:r>
          </w:p>
          <w:p w:rsidR="00000000" w:rsidRPr="005472DF" w:rsidP="005472DF">
            <w:pPr>
              <w:pStyle w:val="BodyText"/>
            </w:pPr>
            <w:r w:rsidRPr="005472DF">
              <w:t>Heavy rigid vehicle includes:</w:t>
            </w:r>
          </w:p>
          <w:p w:rsidR="00000000" w:rsidRPr="005472DF" w:rsidP="005472DF">
            <w:pPr>
              <w:pStyle w:val="ListBullet"/>
            </w:pPr>
            <w:r w:rsidRPr="005472DF">
              <w:t>a rigid vehicle, not being an unladen prime mover, wi</w:t>
            </w:r>
            <w:r w:rsidRPr="005472DF">
              <w:t>th a minimum of three axles and a minimum 15 tonnes GVM or</w:t>
            </w:r>
          </w:p>
          <w:p w:rsidR="00000000" w:rsidRPr="005472DF" w:rsidP="005472DF">
            <w:pPr>
              <w:pStyle w:val="ListBullet"/>
            </w:pPr>
            <w:r w:rsidRPr="005472DF">
              <w:t>a modified three axle prime mover with a certified detachable tray (with capacity to carry 75% of its specified GVM) with a GVM of 15 tonnes and holds dual registration (HC &amp; HR) or</w:t>
            </w:r>
          </w:p>
          <w:p w:rsidR="00000000" w:rsidRPr="005472DF" w:rsidP="005472DF">
            <w:pPr>
              <w:pStyle w:val="ListBullet"/>
            </w:pPr>
            <w:r w:rsidRPr="005472DF">
              <w:t>a three axle articulated bus or</w:t>
            </w:r>
          </w:p>
          <w:p w:rsidR="00000000" w:rsidRPr="005472DF" w:rsidP="005472DF">
            <w:pPr>
              <w:pStyle w:val="ListBullet"/>
            </w:pPr>
            <w:r w:rsidRPr="005472DF">
              <w:t>a three axle bus above 15 tonnes GVM.</w:t>
            </w:r>
          </w:p>
          <w:p w:rsidR="00000000" w:rsidRPr="005472DF" w:rsidP="005472DF">
            <w:pPr>
              <w:pStyle w:val="BodyText"/>
            </w:pPr>
            <w:r w:rsidRPr="005472DF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5472DF" w:rsidP="005472DF">
            <w:pPr>
              <w:pStyle w:val="BodyText"/>
            </w:pPr>
            <w:r w:rsidRPr="005472DF">
              <w:t>This unit appl</w:t>
            </w:r>
            <w:r w:rsidRPr="005472DF">
              <w:t>ies to driving that is carried out in accordance with relevant state/territory driver licensing authority licence requirements and regulations for heavy rigid vehicles.</w:t>
            </w:r>
          </w:p>
          <w:p w:rsidR="00000000" w:rsidRPr="005472DF" w:rsidP="005472DF">
            <w:pPr>
              <w:pStyle w:val="BodyText"/>
            </w:pPr>
            <w:r w:rsidRPr="005472DF">
              <w:t>Driving is performed with limited or minimum supervision, and with limited accountabili</w:t>
            </w:r>
            <w:r w:rsidRPr="005472DF">
              <w:t>ty and responsibility for self and others in achieving the prescribed outcomes.</w:t>
            </w:r>
          </w:p>
          <w:p w:rsidR="00000000" w:rsidRPr="005472DF" w:rsidP="005472DF">
            <w:pPr>
              <w:pStyle w:val="BodyText"/>
            </w:pPr>
            <w:r w:rsidRPr="005472DF">
              <w:t>Driving involves the application of routine vehicle driving principles and procedures to maintain safety and to operate a heavy rigid vehicle across a variety of driving contex</w:t>
            </w:r>
            <w:r w:rsidRPr="005472DF">
              <w:t>ts.</w:t>
            </w:r>
          </w:p>
          <w:p w:rsidR="00000000" w:rsidRPr="005472DF" w:rsidP="005472DF">
            <w:pPr>
              <w:pStyle w:val="BodyText"/>
            </w:pPr>
            <w:r w:rsidRPr="005472DF">
              <w:t>The primary legislative requirements applicable to this unit of competency are state/territory legislation in relation to road use and driver licensing.</w:t>
            </w:r>
          </w:p>
          <w:p w:rsidR="00000000" w:rsidRPr="005472DF" w:rsidP="005472DF">
            <w:pPr>
              <w:pStyle w:val="BodyText"/>
            </w:pPr>
            <w:r w:rsidRPr="005472DF">
              <w:t>This unit addresses the knowledge and skills necessary for the granting of a Heavy Rigid Driver Lic</w:t>
            </w:r>
            <w:r w:rsidRPr="005472DF">
              <w:t>ence.</w:t>
            </w:r>
          </w:p>
          <w:p w:rsidR="00000000" w:rsidRPr="005472DF" w:rsidP="005472DF">
            <w:pPr>
              <w:pStyle w:val="BodyText"/>
            </w:pPr>
            <w:r w:rsidRPr="005472DF">
              <w:t>Being awarded this unit of competency is a necessary requirement to obtain a Heavy Rigid Driver Licence but is only one of several criteria. Prospective licence applicants should check with the state/territory driver licensing authority for other cri</w:t>
            </w:r>
            <w:r w:rsidRPr="005472DF">
              <w:t xml:space="preserve">teria (such as licence tenure and medical fitness) to confirm other eligibility requirements before undertaking training and/or </w:t>
            </w:r>
            <w:r w:rsidRPr="005472DF">
              <w:t>assessment.</w:t>
            </w:r>
          </w:p>
        </w:tc>
      </w:tr>
    </w:tbl>
    <w:p w:rsidR="00000000" w:rsidRPr="005472DF" w:rsidP="005472DF">
      <w:pPr>
        <w:pStyle w:val="NoPaddingFontSize1"/>
      </w:pPr>
    </w:p>
    <w:p w:rsidR="00000000" w:rsidRPr="005472DF" w:rsidP="005472DF">
      <w:pPr>
        <w:pStyle w:val="AllowPageBreak"/>
      </w:pPr>
    </w:p>
    <w:p w:rsidR="00000000" w:rsidRPr="005472DF" w:rsidP="005472DF">
      <w:pPr>
        <w:pStyle w:val="Heading1"/>
      </w:pPr>
      <w:bookmarkStart w:id="3" w:name="O_940205"/>
      <w:bookmarkEnd w:id="3"/>
      <w:r w:rsidRPr="005472DF">
        <w:t>Pre-requisite Unit</w:t>
      </w:r>
    </w:p>
    <w:p w:rsidR="00000000" w:rsidRPr="005472DF" w:rsidP="008C22BC">
      <w:pPr>
        <w:pStyle w:val="BodyText"/>
      </w:pPr>
      <w:r w:rsidRPr="005472DF">
        <w:t>Not applicable.</w:t>
      </w:r>
    </w:p>
    <w:p w:rsidR="00000000" w:rsidRPr="005472DF" w:rsidP="005472DF">
      <w:pPr>
        <w:pStyle w:val="Heading1"/>
      </w:pPr>
      <w:bookmarkStart w:id="4" w:name="O_940204"/>
      <w:bookmarkEnd w:id="4"/>
      <w:r w:rsidRPr="005472DF">
        <w:t>Competency Field</w:t>
      </w:r>
    </w:p>
    <w:p w:rsidR="00000000" w:rsidRPr="005472DF" w:rsidP="008C22BC">
      <w:pPr>
        <w:pStyle w:val="BodyText"/>
      </w:pPr>
      <w:r w:rsidRPr="005472DF">
        <w:t xml:space="preserve">LIC – Licensing </w:t>
      </w:r>
    </w:p>
    <w:p w:rsidR="00000000" w:rsidRPr="005472DF" w:rsidP="005472DF">
      <w:pPr>
        <w:pStyle w:val="Heading1"/>
      </w:pPr>
      <w:bookmarkStart w:id="5" w:name="O_940203"/>
      <w:bookmarkEnd w:id="5"/>
      <w:r w:rsidRPr="005472DF">
        <w:t>Unit Sector</w:t>
      </w:r>
    </w:p>
    <w:p w:rsidR="008C22BC" w:rsidP="008C22BC">
      <w:pPr>
        <w:pStyle w:val="BodyText"/>
      </w:pPr>
      <w:r w:rsidRPr="005472DF">
        <w:t>Not applicable.</w:t>
      </w:r>
    </w:p>
    <w:p w:rsidR="00000000" w:rsidRPr="005472DF" w:rsidP="005472DF">
      <w:pPr>
        <w:pStyle w:val="Heading1"/>
      </w:pPr>
      <w:bookmarkStart w:id="6" w:name="O_940202"/>
      <w:bookmarkEnd w:id="6"/>
      <w:r w:rsidRPr="005472D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rPr>
                <w:rStyle w:val="SpecialBold"/>
              </w:rPr>
              <w:t>PERFORMANCE CRITERIA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Performance criteria describe the performance needed to demonstrate achievement of the eleme</w:t>
            </w:r>
            <w:r w:rsidRPr="005472DF">
              <w:t>nt.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rPr>
                <w:rStyle w:val="SpecialBold"/>
              </w:rPr>
              <w:t>Drive a heavy rigid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Heavy rigid vehicle is started, steered, manoeuvred, positioned and stopped in accordance with traffic regulations, manufacturer instructions and relevant vehicle handling procedures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Engine power is managed to ensure efficiency and performance, and to minimise engine and gear damage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Braking system of heavy rigid vehicle is managed and operated efficiently to ensure effective control of vehicle under all conditions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Driving hazards are identified and/or anticipated and avoided or controlled through defensive driving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Heavy rigid vehicle is driven in reverse, maintaining visibility and achieving accurate positioning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 xml:space="preserve">Heavy rigid vehicle is parked, shutdown </w:t>
            </w:r>
            <w:r w:rsidRPr="005472DF">
              <w:t>and safely secured according to traffic regulations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Load is safely and effectively restrained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rPr>
                <w:rStyle w:val="SpecialBold"/>
              </w:rPr>
              <w:t xml:space="preserve">Monitor traffic and </w:t>
            </w:r>
            <w:r w:rsidRPr="005472DF">
              <w:rPr>
                <w:rStyle w:val="SpecialBold"/>
              </w:rPr>
              <w:t>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 xml:space="preserve">Traffic and road conditions are constantly monitored and acted on to enable safe operation and to ensure no injury to </w:t>
            </w:r>
            <w:r w:rsidRPr="005472DF">
              <w:t>people or damage to property, equipment, loads and facilities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Interaction with other road users is conducted courteously in accorda</w:t>
            </w:r>
            <w:r w:rsidRPr="005472DF">
              <w:t>nce with road rules to ensure safe and efficient traffic flow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 xml:space="preserve">Vehicle performance is maintained through pre-operational inspections and vehicle checks </w:t>
            </w:r>
          </w:p>
        </w:tc>
      </w:tr>
      <w:tr w:rsidTr="008C22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DF">
            <w:pPr>
              <w:pStyle w:val="BodyText"/>
              <w:rPr>
                <w:lang w:val="en-NZ"/>
              </w:rPr>
            </w:pPr>
            <w:r w:rsidRPr="005472D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DF" w:rsidP="005472DF">
            <w:pPr>
              <w:pStyle w:val="BodyText"/>
            </w:pPr>
            <w:r w:rsidRPr="005472DF">
              <w:t>Appropriate signage, lights and equipment are checked for operational effectiveness and for conformity to prescribed traffic regulations</w:t>
            </w:r>
          </w:p>
        </w:tc>
      </w:tr>
    </w:tbl>
    <w:p w:rsidR="00000000" w:rsidRPr="005472DF" w:rsidP="005472DF">
      <w:pPr>
        <w:pStyle w:val="NoPaddingFontSize1"/>
      </w:pPr>
    </w:p>
    <w:p w:rsidR="00000000" w:rsidRPr="005472DF" w:rsidP="005472DF">
      <w:pPr>
        <w:pStyle w:val="AllowPageBreak"/>
      </w:pPr>
    </w:p>
    <w:p w:rsidR="00000000" w:rsidRPr="005472DF" w:rsidP="005472DF">
      <w:pPr>
        <w:pStyle w:val="Heading1"/>
      </w:pPr>
      <w:bookmarkStart w:id="7" w:name="O_940201"/>
      <w:bookmarkEnd w:id="7"/>
      <w:r w:rsidRPr="005472DF">
        <w:t>Foundation Skills</w:t>
      </w:r>
    </w:p>
    <w:p w:rsidR="00000000" w:rsidRPr="005472DF" w:rsidP="008C22BC">
      <w:pPr>
        <w:pStyle w:val="BodyText"/>
      </w:pPr>
      <w:r w:rsidRPr="005472DF">
        <w:t>Founda</w:t>
      </w:r>
      <w:r w:rsidRPr="005472DF">
        <w:t>tion skills essential to performance are explicit in the performance criteria of this unit of competency.</w:t>
      </w:r>
    </w:p>
    <w:p w:rsidR="00000000" w:rsidRPr="005472DF" w:rsidP="005472DF">
      <w:pPr>
        <w:pStyle w:val="Heading1"/>
      </w:pPr>
      <w:bookmarkStart w:id="8" w:name="O_940200"/>
      <w:bookmarkEnd w:id="8"/>
      <w:r w:rsidRPr="005472DF">
        <w:t>Range of Conditions</w:t>
      </w:r>
    </w:p>
    <w:p w:rsidR="00000000" w:rsidRPr="005472DF" w:rsidP="008C22BC">
      <w:pPr>
        <w:pStyle w:val="BodyText"/>
      </w:pPr>
      <w:r w:rsidRPr="005472DF">
        <w:t>Range is restricted to essential operating conditions and any other variables essential to the work environment.</w:t>
      </w:r>
    </w:p>
    <w:p w:rsidR="00000000" w:rsidRPr="005472DF" w:rsidP="008C22BC">
      <w:pPr>
        <w:pStyle w:val="BodyText"/>
      </w:pPr>
      <w:r w:rsidRPr="005472DF">
        <w:t>Non-essential conditions can be found in the Companion Volume Implementation Guide.</w:t>
      </w:r>
    </w:p>
    <w:p w:rsidR="00000000" w:rsidRPr="005472DF" w:rsidP="005472DF">
      <w:pPr>
        <w:pStyle w:val="Heading1"/>
      </w:pPr>
      <w:bookmarkStart w:id="9" w:name="O_940199"/>
      <w:bookmarkEnd w:id="9"/>
      <w:r w:rsidRPr="005472DF">
        <w:t>Unit Mapping Information</w:t>
      </w:r>
    </w:p>
    <w:p w:rsidR="00000000" w:rsidRPr="005472DF" w:rsidP="008C22BC">
      <w:pPr>
        <w:pStyle w:val="BodyText"/>
      </w:pPr>
      <w:r w:rsidRPr="005472DF">
        <w:t>This unit replaces and is equivalent to TLILIC2016B Licence to drive a heavy rigid vehicle.</w:t>
      </w:r>
    </w:p>
    <w:p w:rsidR="00000000" w:rsidRPr="005472DF" w:rsidP="005472DF">
      <w:pPr>
        <w:pStyle w:val="Heading1"/>
      </w:pPr>
      <w:bookmarkStart w:id="10" w:name="O_940208"/>
      <w:bookmarkEnd w:id="10"/>
      <w:r w:rsidRPr="005472DF">
        <w:t>Links</w:t>
      </w:r>
    </w:p>
    <w:p w:rsidR="00000000" w:rsidRPr="005472DF" w:rsidP="008C22BC">
      <w:pPr>
        <w:pStyle w:val="BodyText"/>
      </w:pPr>
      <w:r w:rsidRPr="005472DF">
        <w:t>Companion Volum</w:t>
      </w:r>
      <w:r w:rsidRPr="005472D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3F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72DF" w:rsidP="005472DF"/>
    <w:sectPr w:rsidSect="00547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DF" w:rsidRPr="008C22BC" w:rsidP="008C2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BC" w:rsidP="00547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2BC" w:rsidP="00547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22BC" w:rsidP="00547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2DF" w:rsidRPr="008C22BC" w:rsidP="008C2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BC" w:rsidRPr="002D2AF8" w:rsidP="00547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TLILIC2016 Licence to drive a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22BC" w:rsidP="00547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00B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4CF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2DF"/>
  </w:style>
  <w:style w:type="character" w:customStyle="1" w:styleId="Heading1Char">
    <w:name w:val="Heading 1 Char"/>
    <w:basedOn w:val="DefaultParagraphFont"/>
    <w:link w:val="Heading1"/>
    <w:rsid w:val="00547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2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2DF"/>
    <w:rPr>
      <w:b/>
      <w:spacing w:val="0"/>
    </w:rPr>
  </w:style>
  <w:style w:type="paragraph" w:customStyle="1" w:styleId="SuperHeading">
    <w:name w:val="SuperHeading"/>
    <w:basedOn w:val="Normal"/>
    <w:rsid w:val="00547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7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2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2DF"/>
    <w:rPr>
      <w:i/>
    </w:rPr>
  </w:style>
  <w:style w:type="paragraph" w:styleId="Caption">
    <w:name w:val="caption"/>
    <w:basedOn w:val="BodyText"/>
    <w:next w:val="Normal"/>
    <w:qFormat/>
    <w:rsid w:val="00547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2DF"/>
  </w:style>
  <w:style w:type="paragraph" w:styleId="TableofFigures">
    <w:name w:val="table of figures"/>
    <w:basedOn w:val="Normal"/>
    <w:next w:val="Normal"/>
    <w:semiHidden/>
    <w:rsid w:val="00547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2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72DF"/>
    <w:rPr>
      <w:rFonts w:ascii="Wingdings" w:hAnsi="Wingdings"/>
    </w:rPr>
  </w:style>
  <w:style w:type="paragraph" w:customStyle="1" w:styleId="TableHeading">
    <w:name w:val="Table Heading"/>
    <w:basedOn w:val="HeadingBase"/>
    <w:rsid w:val="00547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2DF"/>
    <w:rPr>
      <w:color w:val="0033CC"/>
      <w:u w:val="none"/>
    </w:rPr>
  </w:style>
  <w:style w:type="paragraph" w:customStyle="1" w:styleId="BodyTextRight">
    <w:name w:val="Body Text Right"/>
    <w:basedOn w:val="BodyText"/>
    <w:rsid w:val="00547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2DF"/>
    <w:rPr>
      <w:sz w:val="32"/>
    </w:rPr>
  </w:style>
  <w:style w:type="paragraph" w:customStyle="1" w:styleId="HeadingProcedure">
    <w:name w:val="Heading Procedure"/>
    <w:basedOn w:val="HeadingBase"/>
    <w:next w:val="Normal"/>
    <w:rsid w:val="00547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2DF"/>
    <w:pPr>
      <w:spacing w:before="60" w:after="60"/>
    </w:pPr>
  </w:style>
  <w:style w:type="paragraph" w:styleId="ListContinue">
    <w:name w:val="List Continue"/>
    <w:basedOn w:val="List"/>
    <w:rsid w:val="005472DF"/>
    <w:pPr>
      <w:ind w:firstLine="0"/>
    </w:pPr>
  </w:style>
  <w:style w:type="paragraph" w:customStyle="1" w:styleId="ListNote">
    <w:name w:val="List Note"/>
    <w:basedOn w:val="List"/>
    <w:rsid w:val="00547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2DF"/>
    <w:rPr>
      <w:rFonts w:ascii="Courier New" w:hAnsi="Courier New"/>
    </w:rPr>
  </w:style>
  <w:style w:type="paragraph" w:customStyle="1" w:styleId="NoteBullet">
    <w:name w:val="Note Bullet"/>
    <w:basedOn w:val="Note"/>
    <w:rsid w:val="00547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2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2DF"/>
    <w:rPr>
      <w:b/>
      <w:smallCaps/>
    </w:rPr>
  </w:style>
  <w:style w:type="paragraph" w:customStyle="1" w:styleId="TableListNumber">
    <w:name w:val="Table List Number"/>
    <w:basedOn w:val="ListNumber"/>
    <w:rsid w:val="00547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2DF"/>
    <w:pPr>
      <w:numPr>
        <w:numId w:val="8"/>
      </w:numPr>
    </w:pPr>
  </w:style>
  <w:style w:type="paragraph" w:customStyle="1" w:styleId="ListAlpha2">
    <w:name w:val="List Alpha 2"/>
    <w:basedOn w:val="List2"/>
    <w:rsid w:val="005472DF"/>
    <w:pPr>
      <w:numPr>
        <w:numId w:val="7"/>
      </w:numPr>
    </w:pPr>
  </w:style>
  <w:style w:type="paragraph" w:styleId="List2">
    <w:name w:val="List 2"/>
    <w:basedOn w:val="BodyText"/>
    <w:rsid w:val="00547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2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2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72DF"/>
    <w:pPr>
      <w:numPr>
        <w:numId w:val="3"/>
      </w:numPr>
    </w:pPr>
  </w:style>
  <w:style w:type="paragraph" w:styleId="ListContinue2">
    <w:name w:val="List Continue 2"/>
    <w:basedOn w:val="List2"/>
    <w:rsid w:val="005472DF"/>
    <w:pPr>
      <w:ind w:firstLine="0"/>
    </w:pPr>
  </w:style>
  <w:style w:type="paragraph" w:styleId="ListContinue3">
    <w:name w:val="List Continue 3"/>
    <w:basedOn w:val="List3"/>
    <w:rsid w:val="005472DF"/>
    <w:pPr>
      <w:ind w:left="1021" w:firstLine="0"/>
    </w:pPr>
  </w:style>
  <w:style w:type="paragraph" w:styleId="ListContinue4">
    <w:name w:val="List Continue 4"/>
    <w:basedOn w:val="List4"/>
    <w:rsid w:val="005472DF"/>
    <w:pPr>
      <w:ind w:firstLine="0"/>
    </w:pPr>
  </w:style>
  <w:style w:type="paragraph" w:styleId="ListContinue5">
    <w:name w:val="List Continue 5"/>
    <w:basedOn w:val="List5"/>
    <w:rsid w:val="005472DF"/>
    <w:pPr>
      <w:ind w:firstLine="0"/>
    </w:pPr>
  </w:style>
  <w:style w:type="paragraph" w:styleId="ListNumber3">
    <w:name w:val="List Number 3"/>
    <w:basedOn w:val="List3"/>
    <w:rsid w:val="005472DF"/>
    <w:pPr>
      <w:numPr>
        <w:numId w:val="4"/>
      </w:numPr>
    </w:pPr>
  </w:style>
  <w:style w:type="paragraph" w:styleId="ListNumber4">
    <w:name w:val="List Number 4"/>
    <w:basedOn w:val="List4"/>
    <w:rsid w:val="005472DF"/>
    <w:pPr>
      <w:numPr>
        <w:numId w:val="5"/>
      </w:numPr>
    </w:pPr>
  </w:style>
  <w:style w:type="paragraph" w:styleId="ListNumber5">
    <w:name w:val="List Number 5"/>
    <w:basedOn w:val="List5"/>
    <w:rsid w:val="005472DF"/>
    <w:pPr>
      <w:numPr>
        <w:numId w:val="6"/>
      </w:numPr>
    </w:pPr>
  </w:style>
  <w:style w:type="paragraph" w:styleId="BlockText">
    <w:name w:val="Block Text"/>
    <w:basedOn w:val="Normal"/>
    <w:rsid w:val="00547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2DF"/>
    <w:rPr>
      <w:sz w:val="16"/>
      <w:vertAlign w:val="superscript"/>
    </w:rPr>
  </w:style>
  <w:style w:type="character" w:customStyle="1" w:styleId="Symbols">
    <w:name w:val="Symbols"/>
    <w:basedOn w:val="DefaultParagraphFont"/>
    <w:rsid w:val="005472DF"/>
    <w:rPr>
      <w:rFonts w:ascii="Symbol" w:hAnsi="Symbol"/>
    </w:rPr>
  </w:style>
  <w:style w:type="character" w:customStyle="1" w:styleId="MenuOptions">
    <w:name w:val="Menu Options"/>
    <w:basedOn w:val="DefaultParagraphFont"/>
    <w:rsid w:val="00547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2DF"/>
    <w:rPr>
      <w:b/>
    </w:rPr>
  </w:style>
  <w:style w:type="character" w:customStyle="1" w:styleId="Underlined">
    <w:name w:val="Underlined"/>
    <w:basedOn w:val="DefaultParagraphFont"/>
    <w:rsid w:val="005472DF"/>
    <w:rPr>
      <w:u w:val="single"/>
    </w:rPr>
  </w:style>
  <w:style w:type="paragraph" w:customStyle="1" w:styleId="TableBodyTextRight">
    <w:name w:val="Table Body Text Right"/>
    <w:basedOn w:val="TableBodyText"/>
    <w:rsid w:val="00547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2DF"/>
    <w:rPr>
      <w:sz w:val="18"/>
    </w:rPr>
  </w:style>
  <w:style w:type="paragraph" w:customStyle="1" w:styleId="BodySmallRight">
    <w:name w:val="Body Small Right"/>
    <w:basedOn w:val="BodyTextRight"/>
    <w:rsid w:val="005472DF"/>
    <w:rPr>
      <w:sz w:val="18"/>
      <w:szCs w:val="18"/>
    </w:rPr>
  </w:style>
  <w:style w:type="paragraph" w:customStyle="1" w:styleId="MarginEdition">
    <w:name w:val="Margin Edition"/>
    <w:basedOn w:val="MarginNote"/>
    <w:rsid w:val="00547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2DF"/>
    <w:rPr>
      <w:sz w:val="2"/>
      <w:szCs w:val="2"/>
    </w:rPr>
  </w:style>
  <w:style w:type="character" w:customStyle="1" w:styleId="Small">
    <w:name w:val="Small"/>
    <w:basedOn w:val="DefaultParagraphFont"/>
    <w:rsid w:val="005472DF"/>
    <w:rPr>
      <w:sz w:val="16"/>
    </w:rPr>
  </w:style>
  <w:style w:type="paragraph" w:customStyle="1" w:styleId="WideTable">
    <w:name w:val="Wide Table"/>
    <w:basedOn w:val="Normal"/>
    <w:rsid w:val="00547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2DF"/>
  </w:style>
  <w:style w:type="paragraph" w:styleId="Quote">
    <w:name w:val="Quote"/>
    <w:basedOn w:val="Heading1"/>
    <w:link w:val="QuoteChar"/>
    <w:qFormat/>
    <w:rsid w:val="00547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2DF"/>
    <w:pPr>
      <w:pageBreakBefore/>
    </w:pPr>
  </w:style>
  <w:style w:type="paragraph" w:customStyle="1" w:styleId="Border">
    <w:name w:val="Border"/>
    <w:basedOn w:val="Normal"/>
    <w:qFormat/>
    <w:rsid w:val="00547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2DF"/>
    <w:rPr>
      <w:u w:val="single"/>
    </w:rPr>
  </w:style>
  <w:style w:type="character" w:customStyle="1" w:styleId="BoldandItalics">
    <w:name w:val="Bold and Italics"/>
    <w:qFormat/>
    <w:rsid w:val="005472DF"/>
    <w:rPr>
      <w:b/>
      <w:i/>
      <w:u w:val="none"/>
    </w:rPr>
  </w:style>
  <w:style w:type="paragraph" w:styleId="BalloonText">
    <w:name w:val="Balloon Text"/>
    <w:basedOn w:val="Normal"/>
    <w:link w:val="BalloonTextChar"/>
    <w:rsid w:val="00547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2DF"/>
    <w:pPr>
      <w:spacing w:before="0" w:after="0"/>
    </w:pPr>
  </w:style>
  <w:style w:type="paragraph" w:customStyle="1" w:styleId="BodyTextBold">
    <w:name w:val="Body Text Bold"/>
    <w:basedOn w:val="BodyText"/>
    <w:qFormat/>
    <w:rsid w:val="005472DF"/>
    <w:rPr>
      <w:b/>
    </w:rPr>
  </w:style>
  <w:style w:type="character" w:styleId="Hyperlink">
    <w:name w:val="Hyperlink"/>
    <w:basedOn w:val="DefaultParagraphFont"/>
    <w:uiPriority w:val="99"/>
    <w:unhideWhenUsed/>
    <w:rsid w:val="008C2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4353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TLILIC2016 Licence to drive a heavy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