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4D1" w:rsidP="00236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TLILIC2016 Licence to drive a heavy rigid vehicle</w:t>
      </w:r>
      <w:r>
        <w:fldChar w:fldCharType="end"/>
      </w:r>
    </w:p>
    <w:p w:rsidR="002364D1" w:rsidP="002364D1">
      <w:pPr>
        <w:pStyle w:val="Version"/>
        <w:sectPr w:rsidSect="008F6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675B" w:rsidP="008F675B">
      <w:pPr>
        <w:pStyle w:val="SuperHeading"/>
      </w:pPr>
      <w:r w:rsidRPr="008F675B">
        <w:t>Assessment Requirements for TLILIC2016 Licence to drive a heavy rigid vehicle</w:t>
      </w:r>
    </w:p>
    <w:p w:rsidR="00000000" w:rsidRPr="008F675B" w:rsidP="008F675B">
      <w:pPr>
        <w:pStyle w:val="Heading1"/>
      </w:pPr>
      <w:bookmarkStart w:id="1" w:name="O_940197"/>
      <w:bookmarkEnd w:id="1"/>
      <w:r w:rsidRPr="008F67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6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B" w:rsidP="008F675B">
            <w:pPr>
              <w:pStyle w:val="BodyText"/>
            </w:pPr>
            <w:r w:rsidRPr="008F675B">
              <w:rPr>
                <w:rStyle w:val="SpecialBold"/>
              </w:rPr>
              <w:t>Release 2.</w:t>
            </w:r>
            <w:r w:rsidRPr="008F675B">
              <w:t xml:space="preserve"> This is the second release of this unit of competency in the TLI Transport and Logistics Training Package.</w:t>
            </w:r>
          </w:p>
          <w:p w:rsidR="00000000" w:rsidRPr="008F675B" w:rsidP="008F675B">
            <w:pPr>
              <w:pStyle w:val="BodyText"/>
            </w:pPr>
            <w:r w:rsidRPr="008F675B">
              <w:t>Modification of assessment conditions to remove an implementation barrier.</w:t>
            </w:r>
          </w:p>
          <w:p w:rsidR="00000000" w:rsidRPr="008F675B" w:rsidP="008F675B">
            <w:pPr>
              <w:pStyle w:val="BodyText"/>
            </w:pPr>
            <w:r w:rsidRPr="008F675B">
              <w:rPr>
                <w:rStyle w:val="SpecialBold"/>
              </w:rPr>
              <w:t>Release 1.</w:t>
            </w:r>
            <w:r w:rsidRPr="008F675B">
              <w:t xml:space="preserve"> This is the first release of this unit of competency in the TLI Transport and Logistics Training Package.</w:t>
            </w:r>
          </w:p>
        </w:tc>
      </w:tr>
    </w:tbl>
    <w:p w:rsidR="00000000" w:rsidRPr="008F675B" w:rsidP="008F675B">
      <w:pPr>
        <w:pStyle w:val="NoPaddingFontSize1"/>
      </w:pPr>
    </w:p>
    <w:p w:rsidR="00000000" w:rsidRPr="008F675B" w:rsidP="008F675B">
      <w:pPr>
        <w:pStyle w:val="AllowPageBreak"/>
      </w:pPr>
    </w:p>
    <w:p w:rsidR="00000000" w:rsidRPr="008F675B" w:rsidP="008F675B">
      <w:pPr>
        <w:pStyle w:val="Heading1"/>
      </w:pPr>
      <w:bookmarkStart w:id="2" w:name="O_940196"/>
      <w:bookmarkEnd w:id="2"/>
      <w:r w:rsidRPr="008F675B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F67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B">
            <w:pPr>
              <w:pStyle w:val="BodyText"/>
              <w:rPr>
                <w:lang w:val="en-NZ"/>
              </w:rPr>
            </w:pPr>
            <w:r w:rsidRPr="008F675B">
              <w:t>Evidence required to dem</w:t>
            </w:r>
            <w:r w:rsidRPr="008F675B">
              <w:t>onstrate competence in this unit must be relevant to and satisfy all of the requirements of the elements and performance criteria on at least one occasion and include:</w:t>
            </w:r>
          </w:p>
        </w:tc>
      </w:tr>
      <w:tr w:rsidTr="008F67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B" w:rsidP="008F675B">
            <w:pPr>
              <w:pStyle w:val="ListBullet"/>
            </w:pPr>
            <w:r w:rsidRPr="008F675B">
              <w:t>anticipating and monitoring traffic hazards and taking appropriate action</w:t>
            </w:r>
          </w:p>
          <w:p w:rsidR="00000000" w:rsidRPr="008F675B" w:rsidP="008F675B">
            <w:pPr>
              <w:pStyle w:val="ListBullet"/>
            </w:pPr>
            <w:r w:rsidRPr="008F675B">
              <w:t xml:space="preserve">applying precautions and required action to eliminate, minimise or control identified hazards </w:t>
            </w:r>
          </w:p>
          <w:p w:rsidR="00000000" w:rsidRPr="008F675B" w:rsidP="008F675B">
            <w:pPr>
              <w:pStyle w:val="ListBullet"/>
            </w:pPr>
            <w:r w:rsidRPr="008F675B">
              <w:t>applying relevant procedures that reflect legislative requirements</w:t>
            </w:r>
          </w:p>
          <w:p w:rsidR="00000000" w:rsidRPr="008F675B" w:rsidP="008F675B">
            <w:pPr>
              <w:pStyle w:val="ListBullet"/>
            </w:pPr>
            <w:r w:rsidRPr="008F675B">
              <w:t>carrying out pre-operational vehicle checks including:</w:t>
            </w:r>
          </w:p>
          <w:p w:rsidR="00000000" w:rsidRPr="008F675B" w:rsidP="008F675B">
            <w:pPr>
              <w:pStyle w:val="ListBullet2"/>
            </w:pPr>
            <w:r w:rsidRPr="008F675B">
              <w:t>checking and topping up fluid levels</w:t>
            </w:r>
          </w:p>
          <w:p w:rsidR="00000000" w:rsidRPr="008F675B" w:rsidP="008F675B">
            <w:pPr>
              <w:pStyle w:val="ListBullet2"/>
            </w:pPr>
            <w:r w:rsidRPr="008F675B">
              <w:t>c</w:t>
            </w:r>
            <w:r w:rsidRPr="008F675B">
              <w:t>hecking:</w:t>
            </w:r>
          </w:p>
          <w:p w:rsidR="00000000" w:rsidRPr="008F675B" w:rsidP="008F675B">
            <w:pPr>
              <w:pStyle w:val="ListBullet3"/>
            </w:pPr>
            <w:r w:rsidRPr="008F675B">
              <w:t>brakes</w:t>
            </w:r>
          </w:p>
          <w:p w:rsidR="00000000" w:rsidRPr="008F675B" w:rsidP="008F675B">
            <w:pPr>
              <w:pStyle w:val="ListBullet3"/>
            </w:pPr>
            <w:r w:rsidRPr="008F675B">
              <w:t>operation of vehicle lights and indicators</w:t>
            </w:r>
          </w:p>
          <w:p w:rsidR="00000000" w:rsidRPr="008F675B" w:rsidP="008F675B">
            <w:pPr>
              <w:pStyle w:val="ListBullet3"/>
            </w:pPr>
            <w:r w:rsidRPr="008F675B">
              <w:t>tyre pressures</w:t>
            </w:r>
          </w:p>
          <w:p w:rsidR="00000000" w:rsidRPr="008F675B" w:rsidP="008F675B">
            <w:pPr>
              <w:pStyle w:val="ListBullet2"/>
            </w:pPr>
            <w:r w:rsidRPr="008F675B">
              <w:t>visually checking vehicle</w:t>
            </w:r>
          </w:p>
          <w:p w:rsidR="00000000" w:rsidRPr="008F675B" w:rsidP="008F675B">
            <w:pPr>
              <w:pStyle w:val="ListBullet"/>
            </w:pPr>
            <w:r w:rsidRPr="008F675B">
              <w:t xml:space="preserve">communicating effectively with others </w:t>
            </w:r>
          </w:p>
          <w:p w:rsidR="00000000" w:rsidRPr="008F675B" w:rsidP="008F675B">
            <w:pPr>
              <w:pStyle w:val="ListBullet"/>
            </w:pPr>
            <w:r w:rsidRPr="008F675B">
              <w:t>handling vehicle including:</w:t>
            </w:r>
          </w:p>
          <w:p w:rsidR="00000000" w:rsidRPr="008F675B" w:rsidP="008F675B">
            <w:pPr>
              <w:pStyle w:val="ListBullet2"/>
            </w:pPr>
            <w:r w:rsidRPr="008F675B">
              <w:t>accelerating and braking</w:t>
            </w:r>
          </w:p>
          <w:p w:rsidR="00000000" w:rsidRPr="008F675B" w:rsidP="008F675B">
            <w:pPr>
              <w:pStyle w:val="ListBullet2"/>
            </w:pPr>
            <w:r w:rsidRPr="008F675B">
              <w:t xml:space="preserve">managing engine performance </w:t>
            </w:r>
          </w:p>
          <w:p w:rsidR="00000000" w:rsidRPr="008F675B" w:rsidP="008F675B">
            <w:pPr>
              <w:pStyle w:val="ListBullet2"/>
            </w:pPr>
            <w:r w:rsidRPr="008F675B">
              <w:t>operating vehicle controls, instruments and indicators</w:t>
            </w:r>
          </w:p>
          <w:p w:rsidR="00000000" w:rsidRPr="008F675B" w:rsidP="008F675B">
            <w:pPr>
              <w:pStyle w:val="ListBullet2"/>
            </w:pPr>
            <w:r w:rsidRPr="008F675B">
              <w:t>positioning and stopping a vehicle</w:t>
            </w:r>
          </w:p>
          <w:p w:rsidR="00000000" w:rsidRPr="008F675B" w:rsidP="008F675B">
            <w:pPr>
              <w:pStyle w:val="ListBullet2"/>
            </w:pPr>
            <w:r w:rsidRPr="008F675B">
              <w:t>reversing a vehicle</w:t>
            </w:r>
          </w:p>
          <w:p w:rsidR="00000000" w:rsidRPr="008F675B" w:rsidP="008F675B">
            <w:pPr>
              <w:pStyle w:val="ListBullet2"/>
            </w:pPr>
            <w:r w:rsidRPr="008F675B">
              <w:t>starting a vehicle</w:t>
            </w:r>
          </w:p>
          <w:p w:rsidR="00000000" w:rsidRPr="008F675B" w:rsidP="008F675B">
            <w:pPr>
              <w:pStyle w:val="ListBullet2"/>
            </w:pPr>
            <w:r w:rsidRPr="008F675B">
              <w:t>steering and manoeuvring a vehicle</w:t>
            </w:r>
          </w:p>
          <w:p w:rsidR="00000000" w:rsidRPr="008F675B" w:rsidP="008F675B">
            <w:pPr>
              <w:pStyle w:val="ListBullet2"/>
            </w:pPr>
            <w:r w:rsidRPr="008F675B">
              <w:t>using defensive driving techniques</w:t>
            </w:r>
          </w:p>
          <w:p w:rsidR="00000000" w:rsidRPr="008F675B" w:rsidP="008F675B">
            <w:pPr>
              <w:pStyle w:val="ListBullet"/>
            </w:pPr>
            <w:r w:rsidRPr="008F675B">
              <w:t>negotiating a range of complex traffic infrastructure (s</w:t>
            </w:r>
            <w:r w:rsidRPr="008F675B">
              <w:t>uch as roundabouts, traffic lights, stalemate intersections, railway level crossings)</w:t>
            </w:r>
          </w:p>
          <w:p w:rsidR="00000000" w:rsidRPr="008F675B" w:rsidP="008F675B">
            <w:pPr>
              <w:pStyle w:val="ListBullet"/>
            </w:pPr>
            <w:r w:rsidRPr="008F675B">
              <w:t>reading and interpreting relevant instructions, procedures, information and signs.</w:t>
            </w:r>
          </w:p>
        </w:tc>
      </w:tr>
    </w:tbl>
    <w:p w:rsidR="00000000" w:rsidRPr="008F675B" w:rsidP="008F675B">
      <w:pPr>
        <w:pStyle w:val="NoPaddingFontSize1"/>
      </w:pPr>
    </w:p>
    <w:p w:rsidR="00000000" w:rsidRPr="008F675B" w:rsidP="008F675B">
      <w:pPr>
        <w:pStyle w:val="AllowPageBreak"/>
      </w:pPr>
    </w:p>
    <w:p w:rsidR="00000000" w:rsidRPr="008F675B" w:rsidP="008F675B">
      <w:pPr>
        <w:pStyle w:val="Heading1"/>
      </w:pPr>
      <w:bookmarkStart w:id="3" w:name="O_940195"/>
      <w:bookmarkEnd w:id="3"/>
      <w:r w:rsidRPr="008F675B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F67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5B">
            <w:pPr>
              <w:pStyle w:val="BodyText"/>
              <w:rPr>
                <w:lang w:val="en-NZ"/>
              </w:rPr>
            </w:pPr>
            <w:r w:rsidRPr="008F675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F67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B" w:rsidP="008F675B">
            <w:pPr>
              <w:pStyle w:val="ListBullet"/>
            </w:pPr>
            <w:r w:rsidRPr="008F675B">
              <w:t>driving hazards and related defensive driving techniques</w:t>
            </w:r>
          </w:p>
          <w:p w:rsidR="00000000" w:rsidRPr="008F675B" w:rsidP="008F675B">
            <w:pPr>
              <w:pStyle w:val="ListBullet"/>
            </w:pPr>
            <w:r w:rsidRPr="008F675B">
              <w:t>efficient driving</w:t>
            </w:r>
            <w:r w:rsidRPr="008F675B">
              <w:t xml:space="preserve"> techniques</w:t>
            </w:r>
          </w:p>
          <w:p w:rsidR="00000000" w:rsidRPr="008F675B" w:rsidP="008F675B">
            <w:pPr>
              <w:pStyle w:val="ListBullet"/>
            </w:pPr>
            <w:r w:rsidRPr="008F675B">
              <w:t>engine power management and safe driving strategies</w:t>
            </w:r>
          </w:p>
          <w:p w:rsidR="00000000" w:rsidRPr="008F675B" w:rsidP="008F675B">
            <w:pPr>
              <w:pStyle w:val="ListBullet"/>
            </w:pPr>
            <w:r w:rsidRPr="008F675B">
              <w:t>heavy rigid vehicle controls, instruments and indicators, and their use</w:t>
            </w:r>
          </w:p>
          <w:p w:rsidR="00000000" w:rsidRPr="008F675B" w:rsidP="008F675B">
            <w:pPr>
              <w:pStyle w:val="ListBullet"/>
            </w:pPr>
            <w:r w:rsidRPr="008F675B">
              <w:t>heavy rigid vehicle handling procedures</w:t>
            </w:r>
          </w:p>
          <w:p w:rsidR="00000000" w:rsidRPr="008F675B" w:rsidP="008F675B">
            <w:pPr>
              <w:pStyle w:val="ListBullet"/>
            </w:pPr>
            <w:r w:rsidRPr="008F675B">
              <w:t>pre-operational checks carried out on vehicle and related action</w:t>
            </w:r>
          </w:p>
          <w:p w:rsidR="00000000" w:rsidRPr="008F675B" w:rsidP="008F675B">
            <w:pPr>
              <w:pStyle w:val="ListBullet"/>
            </w:pPr>
            <w:r w:rsidRPr="008F675B">
              <w:t>relevant state/territory driver licensing authority road rules, regulations, permit and licence requirements.</w:t>
            </w:r>
          </w:p>
        </w:tc>
      </w:tr>
    </w:tbl>
    <w:p w:rsidR="00000000" w:rsidRPr="008F675B" w:rsidP="008F675B">
      <w:pPr>
        <w:pStyle w:val="NoPaddingFontSize1"/>
      </w:pPr>
    </w:p>
    <w:p w:rsidR="00000000" w:rsidRPr="008F675B" w:rsidP="008F675B">
      <w:pPr>
        <w:pStyle w:val="AllowPageBreak"/>
      </w:pPr>
    </w:p>
    <w:p w:rsidR="00000000" w:rsidRPr="008F675B" w:rsidP="008F675B">
      <w:pPr>
        <w:pStyle w:val="Heading1"/>
      </w:pPr>
      <w:bookmarkStart w:id="4" w:name="O_940194"/>
      <w:bookmarkEnd w:id="4"/>
      <w:r w:rsidRPr="008F675B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F675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5B" w:rsidP="008F675B">
            <w:pPr>
              <w:pStyle w:val="BodyText"/>
            </w:pPr>
            <w:r w:rsidRPr="008F675B">
              <w:t>As a minimum, assessors must satisfy applicable regulatory requirements, which include requirements in th</w:t>
            </w:r>
            <w:r w:rsidRPr="008F675B">
              <w:t xml:space="preserve">e </w:t>
            </w:r>
            <w:r w:rsidRPr="008F675B">
              <w:rPr>
                <w:rStyle w:val="Emphasis"/>
              </w:rPr>
              <w:t xml:space="preserve">Standards for Registered Training Organisations </w:t>
            </w:r>
            <w:r w:rsidRPr="008F675B">
              <w:t>current at the time of assessment.</w:t>
            </w:r>
          </w:p>
          <w:p w:rsidR="00000000" w:rsidRPr="008F675B" w:rsidP="008F675B">
            <w:pPr>
              <w:pStyle w:val="BodyText"/>
            </w:pPr>
            <w:r w:rsidRPr="008F675B">
              <w:t xml:space="preserve">As a minimum, assessment must satisfy applicable regulatory requirements, which include requirements in the </w:t>
            </w:r>
            <w:r w:rsidRPr="008F675B">
              <w:rPr>
                <w:rStyle w:val="Emphasis"/>
              </w:rPr>
              <w:t xml:space="preserve">Standards for Registered Training Organisations </w:t>
            </w:r>
            <w:r w:rsidRPr="008F675B">
              <w:t xml:space="preserve">current at the </w:t>
            </w:r>
            <w:r w:rsidRPr="008F675B">
              <w:t>time of assessment.</w:t>
            </w:r>
          </w:p>
          <w:p w:rsidR="00000000" w:rsidRPr="008F675B" w:rsidP="008F675B">
            <w:pPr>
              <w:pStyle w:val="BodyText"/>
            </w:pPr>
            <w:r w:rsidRPr="008F675B">
              <w:t>Practical driving aspects must be assessed in a vehicle typical of the class as approved by the state/territory driver licensing authority. The use of simulators for driver testing is not permitted.</w:t>
            </w:r>
          </w:p>
          <w:p w:rsidR="00000000" w:rsidRPr="008F675B" w:rsidP="008F675B">
            <w:pPr>
              <w:pStyle w:val="BodyText"/>
            </w:pPr>
            <w:r w:rsidRPr="008F675B">
              <w:t>The assessor must use the mandatory a</w:t>
            </w:r>
            <w:r w:rsidRPr="008F675B">
              <w:t>ssessment tool provided by the state/territory driver licensing authority to conduct the assessment for this unit according to licensing authority requirements.</w:t>
            </w:r>
          </w:p>
          <w:p w:rsidR="00000000" w:rsidRPr="008F675B" w:rsidP="008F675B">
            <w:pPr>
              <w:pStyle w:val="BodyText"/>
            </w:pPr>
            <w:r w:rsidRPr="008F675B">
              <w:t>The state/territory driver licensing authority may prescribe approved routes, which must be use</w:t>
            </w:r>
            <w:r w:rsidRPr="008F675B">
              <w:t>d for the final assessment.</w:t>
            </w:r>
          </w:p>
          <w:p w:rsidR="00000000" w:rsidRPr="008F675B" w:rsidP="008F675B">
            <w:pPr>
              <w:pStyle w:val="BodyText"/>
            </w:pPr>
            <w:r w:rsidRPr="008F675B">
              <w:t>Assessment must occur in the following traffic and road conditions:</w:t>
            </w:r>
          </w:p>
          <w:p w:rsidR="00000000" w:rsidRPr="008F675B" w:rsidP="008F675B">
            <w:pPr>
              <w:pStyle w:val="ListBullet"/>
            </w:pPr>
            <w:r w:rsidRPr="008F675B">
              <w:t>on open and/or private roads with moderate inclines and declines</w:t>
            </w:r>
          </w:p>
          <w:p w:rsidR="00000000" w:rsidRPr="008F675B" w:rsidP="008F675B">
            <w:pPr>
              <w:pStyle w:val="ListBullet"/>
            </w:pPr>
            <w:r w:rsidRPr="008F675B">
              <w:t>typical weather conditions.</w:t>
            </w:r>
          </w:p>
          <w:p w:rsidR="00000000" w:rsidRPr="008F675B" w:rsidP="008F675B">
            <w:pPr>
              <w:pStyle w:val="BodyText"/>
            </w:pPr>
            <w:r w:rsidRPr="008F675B">
              <w:t>and may also include traffic and road conditions at a depot, base or warehouse.</w:t>
            </w:r>
          </w:p>
          <w:p w:rsidR="00000000" w:rsidRPr="008F675B" w:rsidP="008F675B">
            <w:pPr>
              <w:pStyle w:val="BodyText"/>
            </w:pPr>
            <w:r w:rsidRPr="008F675B">
              <w:t>Resources for assessment include:</w:t>
            </w:r>
          </w:p>
          <w:p w:rsidR="00000000" w:rsidRPr="008F675B" w:rsidP="008F675B">
            <w:pPr>
              <w:pStyle w:val="ListBullet"/>
            </w:pPr>
            <w:r w:rsidRPr="008F675B">
              <w:t>a range of relevant exercises, case studies and/or simulations</w:t>
            </w:r>
          </w:p>
          <w:p w:rsidR="00000000" w:rsidRPr="008F675B" w:rsidP="008F675B">
            <w:pPr>
              <w:pStyle w:val="ListBullet"/>
            </w:pPr>
            <w:r w:rsidRPr="008F675B">
              <w:t xml:space="preserve">appropriate range of relevant on-road operational or workplace situations </w:t>
            </w:r>
          </w:p>
          <w:p w:rsidR="00000000" w:rsidRPr="008F675B" w:rsidP="008F675B">
            <w:pPr>
              <w:pStyle w:val="ListBullet"/>
            </w:pPr>
            <w:r w:rsidRPr="008F675B">
              <w:t>app</w:t>
            </w:r>
            <w:r w:rsidRPr="008F675B">
              <w:t>licable documentation including workplace procedures, regulations, codes of practice and operation manuals</w:t>
            </w:r>
          </w:p>
          <w:p w:rsidR="00000000" w:rsidRPr="008F675B" w:rsidP="008F675B">
            <w:pPr>
              <w:pStyle w:val="ListBullet"/>
            </w:pPr>
            <w:r w:rsidRPr="008F675B">
              <w:t>relevant materials, tools, equipment and personal protective equipment currently used in industry.</w:t>
            </w:r>
          </w:p>
        </w:tc>
      </w:tr>
    </w:tbl>
    <w:p w:rsidR="00000000" w:rsidRPr="008F675B" w:rsidP="008F675B">
      <w:pPr>
        <w:pStyle w:val="NoPaddingFontSize1"/>
      </w:pPr>
    </w:p>
    <w:p w:rsidR="00000000" w:rsidRPr="008F675B" w:rsidP="008F675B">
      <w:pPr>
        <w:pStyle w:val="AllowPageBreak"/>
      </w:pPr>
    </w:p>
    <w:p w:rsidR="00000000" w:rsidRPr="008F675B" w:rsidP="008F675B">
      <w:pPr>
        <w:pStyle w:val="Heading1"/>
      </w:pPr>
      <w:bookmarkStart w:id="5" w:name="O_940209"/>
      <w:bookmarkEnd w:id="5"/>
      <w:r w:rsidRPr="008F675B">
        <w:t>Links</w:t>
      </w:r>
    </w:p>
    <w:p w:rsidR="00000000" w:rsidRPr="008F675B" w:rsidP="002364D1">
      <w:pPr>
        <w:pStyle w:val="BodyText"/>
      </w:pPr>
      <w:r w:rsidRPr="008F67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B0C5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F675B" w:rsidP="008F675B"/>
    <w:sectPr w:rsidSect="008F67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5B" w:rsidRPr="002364D1" w:rsidP="00236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D1" w:rsidP="008F6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64D1" w:rsidP="008F6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364D1" w:rsidP="008F6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75B" w:rsidRPr="002364D1" w:rsidP="00236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D1" w:rsidRPr="002D2AF8" w:rsidP="008F6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TLILIC2016 Licence to drive a heavy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364D1" w:rsidP="008F6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A4C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162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703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75B"/>
  </w:style>
  <w:style w:type="character" w:customStyle="1" w:styleId="Heading1Char">
    <w:name w:val="Heading 1 Char"/>
    <w:basedOn w:val="DefaultParagraphFont"/>
    <w:link w:val="Heading1"/>
    <w:rsid w:val="008F6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7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67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75B"/>
    <w:rPr>
      <w:b/>
      <w:spacing w:val="0"/>
    </w:rPr>
  </w:style>
  <w:style w:type="paragraph" w:styleId="ListBullet2">
    <w:name w:val="List Bullet 2"/>
    <w:basedOn w:val="List2"/>
    <w:rsid w:val="008F675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675B"/>
    <w:rPr>
      <w:i/>
    </w:rPr>
  </w:style>
  <w:style w:type="paragraph" w:customStyle="1" w:styleId="SuperHeading">
    <w:name w:val="SuperHeading"/>
    <w:basedOn w:val="Normal"/>
    <w:rsid w:val="008F6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675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6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7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7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6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6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7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6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75B"/>
  </w:style>
  <w:style w:type="paragraph" w:styleId="TableofFigures">
    <w:name w:val="table of figures"/>
    <w:basedOn w:val="Normal"/>
    <w:next w:val="Normal"/>
    <w:semiHidden/>
    <w:rsid w:val="008F6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7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675B"/>
    <w:rPr>
      <w:rFonts w:ascii="Wingdings" w:hAnsi="Wingdings"/>
    </w:rPr>
  </w:style>
  <w:style w:type="paragraph" w:customStyle="1" w:styleId="TableHeading">
    <w:name w:val="Table Heading"/>
    <w:basedOn w:val="HeadingBase"/>
    <w:rsid w:val="008F6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75B"/>
    <w:rPr>
      <w:color w:val="0033CC"/>
      <w:u w:val="none"/>
    </w:rPr>
  </w:style>
  <w:style w:type="paragraph" w:customStyle="1" w:styleId="BodyTextRight">
    <w:name w:val="Body Text Right"/>
    <w:basedOn w:val="BodyText"/>
    <w:rsid w:val="008F6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7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75B"/>
    <w:rPr>
      <w:sz w:val="32"/>
    </w:rPr>
  </w:style>
  <w:style w:type="paragraph" w:customStyle="1" w:styleId="HeadingProcedure">
    <w:name w:val="Heading Procedure"/>
    <w:basedOn w:val="HeadingBase"/>
    <w:next w:val="Normal"/>
    <w:rsid w:val="008F6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75B"/>
    <w:pPr>
      <w:spacing w:before="60" w:after="60"/>
    </w:pPr>
  </w:style>
  <w:style w:type="paragraph" w:styleId="ListContinue">
    <w:name w:val="List Continue"/>
    <w:basedOn w:val="List"/>
    <w:rsid w:val="008F675B"/>
    <w:pPr>
      <w:ind w:firstLine="0"/>
    </w:pPr>
  </w:style>
  <w:style w:type="paragraph" w:customStyle="1" w:styleId="ListNote">
    <w:name w:val="List Note"/>
    <w:basedOn w:val="List"/>
    <w:rsid w:val="008F6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75B"/>
    <w:rPr>
      <w:rFonts w:ascii="Courier New" w:hAnsi="Courier New"/>
    </w:rPr>
  </w:style>
  <w:style w:type="paragraph" w:customStyle="1" w:styleId="NoteBullet">
    <w:name w:val="Note Bullet"/>
    <w:basedOn w:val="Note"/>
    <w:rsid w:val="008F6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7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6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75B"/>
    <w:rPr>
      <w:b/>
      <w:smallCaps/>
    </w:rPr>
  </w:style>
  <w:style w:type="paragraph" w:customStyle="1" w:styleId="TableListNumber">
    <w:name w:val="Table List Number"/>
    <w:basedOn w:val="ListNumber"/>
    <w:rsid w:val="008F6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75B"/>
    <w:pPr>
      <w:numPr>
        <w:numId w:val="10"/>
      </w:numPr>
    </w:pPr>
  </w:style>
  <w:style w:type="paragraph" w:customStyle="1" w:styleId="ListAlpha2">
    <w:name w:val="List Alpha 2"/>
    <w:basedOn w:val="List2"/>
    <w:rsid w:val="008F675B"/>
    <w:pPr>
      <w:numPr>
        <w:numId w:val="9"/>
      </w:numPr>
    </w:pPr>
  </w:style>
  <w:style w:type="paragraph" w:styleId="List2">
    <w:name w:val="List 2"/>
    <w:basedOn w:val="BodyText"/>
    <w:rsid w:val="008F6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7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67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675B"/>
    <w:pPr>
      <w:numPr>
        <w:numId w:val="5"/>
      </w:numPr>
    </w:pPr>
  </w:style>
  <w:style w:type="paragraph" w:styleId="ListContinue2">
    <w:name w:val="List Continue 2"/>
    <w:basedOn w:val="List2"/>
    <w:rsid w:val="008F675B"/>
    <w:pPr>
      <w:ind w:firstLine="0"/>
    </w:pPr>
  </w:style>
  <w:style w:type="paragraph" w:styleId="ListContinue3">
    <w:name w:val="List Continue 3"/>
    <w:basedOn w:val="List3"/>
    <w:rsid w:val="008F675B"/>
    <w:pPr>
      <w:ind w:left="1021" w:firstLine="0"/>
    </w:pPr>
  </w:style>
  <w:style w:type="paragraph" w:styleId="ListContinue4">
    <w:name w:val="List Continue 4"/>
    <w:basedOn w:val="List4"/>
    <w:rsid w:val="008F675B"/>
    <w:pPr>
      <w:ind w:firstLine="0"/>
    </w:pPr>
  </w:style>
  <w:style w:type="paragraph" w:styleId="ListContinue5">
    <w:name w:val="List Continue 5"/>
    <w:basedOn w:val="List5"/>
    <w:rsid w:val="008F675B"/>
    <w:pPr>
      <w:ind w:firstLine="0"/>
    </w:pPr>
  </w:style>
  <w:style w:type="paragraph" w:styleId="ListNumber3">
    <w:name w:val="List Number 3"/>
    <w:basedOn w:val="List3"/>
    <w:rsid w:val="008F675B"/>
    <w:pPr>
      <w:numPr>
        <w:numId w:val="6"/>
      </w:numPr>
    </w:pPr>
  </w:style>
  <w:style w:type="paragraph" w:styleId="ListNumber4">
    <w:name w:val="List Number 4"/>
    <w:basedOn w:val="List4"/>
    <w:rsid w:val="008F675B"/>
    <w:pPr>
      <w:numPr>
        <w:numId w:val="7"/>
      </w:numPr>
    </w:pPr>
  </w:style>
  <w:style w:type="paragraph" w:styleId="ListNumber5">
    <w:name w:val="List Number 5"/>
    <w:basedOn w:val="List5"/>
    <w:rsid w:val="008F675B"/>
    <w:pPr>
      <w:numPr>
        <w:numId w:val="8"/>
      </w:numPr>
    </w:pPr>
  </w:style>
  <w:style w:type="paragraph" w:styleId="BlockText">
    <w:name w:val="Block Text"/>
    <w:basedOn w:val="Normal"/>
    <w:rsid w:val="008F6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75B"/>
    <w:rPr>
      <w:sz w:val="16"/>
      <w:vertAlign w:val="superscript"/>
    </w:rPr>
  </w:style>
  <w:style w:type="character" w:customStyle="1" w:styleId="Symbols">
    <w:name w:val="Symbols"/>
    <w:basedOn w:val="DefaultParagraphFont"/>
    <w:rsid w:val="008F675B"/>
    <w:rPr>
      <w:rFonts w:ascii="Symbol" w:hAnsi="Symbol"/>
    </w:rPr>
  </w:style>
  <w:style w:type="character" w:customStyle="1" w:styleId="MenuOptions">
    <w:name w:val="Menu Options"/>
    <w:basedOn w:val="DefaultParagraphFont"/>
    <w:rsid w:val="008F6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75B"/>
    <w:rPr>
      <w:b/>
    </w:rPr>
  </w:style>
  <w:style w:type="character" w:customStyle="1" w:styleId="Underlined">
    <w:name w:val="Underlined"/>
    <w:basedOn w:val="DefaultParagraphFont"/>
    <w:rsid w:val="008F675B"/>
    <w:rPr>
      <w:u w:val="single"/>
    </w:rPr>
  </w:style>
  <w:style w:type="paragraph" w:customStyle="1" w:styleId="TableBodyTextRight">
    <w:name w:val="Table Body Text Right"/>
    <w:basedOn w:val="TableBodyText"/>
    <w:rsid w:val="008F6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75B"/>
    <w:rPr>
      <w:sz w:val="18"/>
    </w:rPr>
  </w:style>
  <w:style w:type="paragraph" w:customStyle="1" w:styleId="BodySmallRight">
    <w:name w:val="Body Small Right"/>
    <w:basedOn w:val="BodyTextRight"/>
    <w:rsid w:val="008F675B"/>
    <w:rPr>
      <w:sz w:val="18"/>
      <w:szCs w:val="18"/>
    </w:rPr>
  </w:style>
  <w:style w:type="paragraph" w:customStyle="1" w:styleId="MarginEdition">
    <w:name w:val="Margin Edition"/>
    <w:basedOn w:val="MarginNote"/>
    <w:rsid w:val="008F6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75B"/>
    <w:rPr>
      <w:sz w:val="2"/>
      <w:szCs w:val="2"/>
    </w:rPr>
  </w:style>
  <w:style w:type="character" w:customStyle="1" w:styleId="Small">
    <w:name w:val="Small"/>
    <w:basedOn w:val="DefaultParagraphFont"/>
    <w:rsid w:val="008F675B"/>
    <w:rPr>
      <w:sz w:val="16"/>
    </w:rPr>
  </w:style>
  <w:style w:type="paragraph" w:customStyle="1" w:styleId="WideTable">
    <w:name w:val="Wide Table"/>
    <w:basedOn w:val="Normal"/>
    <w:rsid w:val="008F6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75B"/>
  </w:style>
  <w:style w:type="paragraph" w:styleId="Quote">
    <w:name w:val="Quote"/>
    <w:basedOn w:val="Heading1"/>
    <w:link w:val="QuoteChar"/>
    <w:qFormat/>
    <w:rsid w:val="008F6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75B"/>
    <w:pPr>
      <w:pageBreakBefore/>
    </w:pPr>
  </w:style>
  <w:style w:type="paragraph" w:customStyle="1" w:styleId="Border">
    <w:name w:val="Border"/>
    <w:basedOn w:val="Normal"/>
    <w:qFormat/>
    <w:rsid w:val="008F6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75B"/>
    <w:rPr>
      <w:u w:val="single"/>
    </w:rPr>
  </w:style>
  <w:style w:type="character" w:customStyle="1" w:styleId="BoldandItalics">
    <w:name w:val="Bold and Italics"/>
    <w:qFormat/>
    <w:rsid w:val="008F675B"/>
    <w:rPr>
      <w:b/>
      <w:i/>
      <w:u w:val="none"/>
    </w:rPr>
  </w:style>
  <w:style w:type="paragraph" w:styleId="BalloonText">
    <w:name w:val="Balloon Text"/>
    <w:basedOn w:val="Normal"/>
    <w:link w:val="BalloonTextChar"/>
    <w:rsid w:val="008F6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75B"/>
    <w:pPr>
      <w:spacing w:before="0" w:after="0"/>
    </w:pPr>
  </w:style>
  <w:style w:type="paragraph" w:customStyle="1" w:styleId="BodyTextBold">
    <w:name w:val="Body Text Bold"/>
    <w:basedOn w:val="BodyText"/>
    <w:qFormat/>
    <w:rsid w:val="008F675B"/>
    <w:rPr>
      <w:b/>
    </w:rPr>
  </w:style>
  <w:style w:type="character" w:styleId="Hyperlink">
    <w:name w:val="Hyperlink"/>
    <w:basedOn w:val="DefaultParagraphFont"/>
    <w:uiPriority w:val="99"/>
    <w:unhideWhenUsed/>
    <w:rsid w:val="00236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3641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TLILIC2016 Licence to drive a heavy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