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FB8" w:rsidP="001C0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TLILIC0040 Licence to operate a non-slewing mobile crane (greater than 3 tonnes capacity)</w:t>
      </w:r>
      <w:r>
        <w:fldChar w:fldCharType="end"/>
      </w:r>
    </w:p>
    <w:p w:rsidR="001C0FB8" w:rsidP="001C0FB8">
      <w:pPr>
        <w:pStyle w:val="Version"/>
        <w:sectPr w:rsidSect="004E1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264" w:rsidP="004E1264">
      <w:pPr>
        <w:pStyle w:val="SuperHeading"/>
      </w:pPr>
      <w:r w:rsidRPr="004E1264">
        <w:t>TLILIC0040 Licence to operate a non-slewing mobile crane (greater than 3 tonnes capacity)</w:t>
      </w:r>
    </w:p>
    <w:p w:rsidR="00000000" w:rsidRPr="004E1264" w:rsidP="004E1264">
      <w:pPr>
        <w:pStyle w:val="Heading1"/>
      </w:pPr>
      <w:bookmarkStart w:id="1" w:name="O_1240681"/>
      <w:bookmarkEnd w:id="1"/>
      <w:r w:rsidRPr="004E12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Release 1</w:t>
            </w:r>
            <w:r w:rsidRPr="004E1264">
              <w:t>. This is the first release of this unit of competency in the TLI Transport and Logistics Training Package.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2" w:name="O_1240682"/>
      <w:bookmarkEnd w:id="2"/>
      <w:r w:rsidRPr="004E12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 xml:space="preserve">This unit specifies the skills and knowledge required to operate a non-slewing mobile crane with a Rated Capacity (RC) exceeding three tonnes safely, in accordance with all relevant legislative responsibilities. Competence in </w:t>
            </w:r>
            <w:r w:rsidRPr="004E1264">
              <w:t>this unit, does not in itself result in a High Risk Work Licence (HRWL) to operate this plant. Competence in this unit does not allow for driving an articulated mobile crane on a main or public road. In order to drive on a main or public road, a valid heav</w:t>
            </w:r>
            <w:r w:rsidRPr="004E1264">
              <w:t xml:space="preserve">y vehicle licence, issued by a transport regulator, is required. </w:t>
            </w:r>
          </w:p>
          <w:p w:rsidR="00000000" w:rsidRPr="004E1264" w:rsidP="004E1264">
            <w:pPr>
              <w:pStyle w:val="BodyText"/>
            </w:pPr>
            <w:r w:rsidRPr="004E1264">
              <w:t>Non-slewing mobile crane means a mobile crane incorporating a boom or jib that cannot be slewed, and includes:</w:t>
            </w:r>
          </w:p>
          <w:p w:rsidR="00000000" w:rsidRPr="004E1264" w:rsidP="004E1264">
            <w:pPr>
              <w:pStyle w:val="ListBullet"/>
            </w:pPr>
            <w:r w:rsidRPr="004E1264">
              <w:t>an articulated mobile crane</w:t>
            </w:r>
          </w:p>
          <w:p w:rsidR="00000000" w:rsidRPr="004E1264" w:rsidP="004E1264">
            <w:pPr>
              <w:pStyle w:val="ListBullet"/>
            </w:pPr>
            <w:r w:rsidRPr="004E1264">
              <w:t>a locomotive crane</w:t>
            </w:r>
          </w:p>
          <w:p w:rsidR="00000000" w:rsidRPr="004E1264" w:rsidP="004E1264">
            <w:pPr>
              <w:pStyle w:val="ListBullet"/>
            </w:pPr>
            <w:r w:rsidRPr="004E1264">
              <w:t>but does not include vehicle to</w:t>
            </w:r>
            <w:r w:rsidRPr="004E1264">
              <w:t>w trucks.</w:t>
            </w:r>
          </w:p>
          <w:p w:rsidR="00000000" w:rsidRPr="004E1264" w:rsidP="004E1264">
            <w:pPr>
              <w:pStyle w:val="BodyText"/>
            </w:pPr>
            <w:r w:rsidRPr="004E1264">
              <w:t>A person performing this work is required to hold a non-slewing mobile crane HRWL.</w:t>
            </w:r>
          </w:p>
          <w:p w:rsidR="00000000" w:rsidRPr="004E1264" w:rsidP="004E1264">
            <w:pPr>
              <w:pStyle w:val="BodyText"/>
            </w:pPr>
            <w:r w:rsidRPr="004E1264">
              <w:t>This unit requires a person operating non-slewing mobile crane with an RC exceeding three tonnes to:</w:t>
            </w:r>
          </w:p>
          <w:p w:rsidR="00000000" w:rsidRPr="004E1264" w:rsidP="004E1264">
            <w:pPr>
              <w:pStyle w:val="ListBullet"/>
            </w:pPr>
            <w:r w:rsidRPr="004E1264">
              <w:t>plan the work/task</w:t>
            </w:r>
          </w:p>
          <w:p w:rsidR="00000000" w:rsidRPr="004E1264" w:rsidP="004E1264">
            <w:pPr>
              <w:pStyle w:val="ListBullet"/>
            </w:pPr>
            <w:r w:rsidRPr="004E1264">
              <w:t>prepare for the work/task</w:t>
            </w:r>
          </w:p>
          <w:p w:rsidR="00000000" w:rsidRPr="004E1264" w:rsidP="004E1264">
            <w:pPr>
              <w:pStyle w:val="ListBullet"/>
            </w:pPr>
            <w:r w:rsidRPr="004E1264">
              <w:t>perform work/task</w:t>
            </w:r>
          </w:p>
          <w:p w:rsidR="00000000" w:rsidRPr="004E1264" w:rsidP="004E1264">
            <w:pPr>
              <w:pStyle w:val="ListBullet"/>
            </w:pPr>
            <w:r w:rsidRPr="004E1264">
              <w:t>prepare to drive an articulated mobile crane on road</w:t>
            </w:r>
          </w:p>
          <w:p w:rsidR="00000000" w:rsidRPr="004E1264" w:rsidP="004E1264">
            <w:pPr>
              <w:pStyle w:val="ListBullet"/>
            </w:pPr>
            <w:r w:rsidRPr="004E1264">
              <w:t>drive an articulated mobile crane</w:t>
            </w:r>
          </w:p>
          <w:p w:rsidR="00000000" w:rsidRPr="004E1264" w:rsidP="004E1264">
            <w:pPr>
              <w:pStyle w:val="ListBullet"/>
            </w:pPr>
            <w:r w:rsidRPr="004E1264">
              <w:t>pack up.</w:t>
            </w:r>
          </w:p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Licensing/Regulatory Information</w:t>
            </w:r>
          </w:p>
          <w:p w:rsidR="00000000" w:rsidRPr="004E1264" w:rsidP="004E1264">
            <w:pPr>
              <w:pStyle w:val="BodyText"/>
            </w:pPr>
            <w:r w:rsidRPr="004E1264">
              <w:t xml:space="preserve">Legislative and regulatory requirements are applicable to this unit of competency. This unit is based on the </w:t>
            </w:r>
            <w:r w:rsidRPr="004E1264">
              <w:t xml:space="preserve">licensing requirements of Part 4.5 of the Model Work Health and Safety (WHS) Regulations and meets Commonwealth, state and territory HRWL requirements. </w:t>
            </w:r>
          </w:p>
          <w:p w:rsidR="00000000" w:rsidRPr="004E1264" w:rsidP="004E1264">
            <w:pPr>
              <w:pStyle w:val="BodyText"/>
            </w:pPr>
            <w:r w:rsidRPr="004E1264">
              <w:t>The National Assessment Instrument (NAI) is the mandated assessment for the HRWL to operate the relevan</w:t>
            </w:r>
            <w:r w:rsidRPr="004E1264">
              <w:t xml:space="preserve">t licensing class as detailed in this unit.  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3" w:name="O_1240683"/>
      <w:bookmarkEnd w:id="3"/>
      <w:r w:rsidRPr="004E12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Not applicable.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4" w:name="O_1240684"/>
      <w:bookmarkEnd w:id="4"/>
      <w:r w:rsidRPr="004E12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LIC - Licencing Units.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5" w:name="O_1240685"/>
      <w:bookmarkEnd w:id="5"/>
      <w:r w:rsidRPr="004E12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Not applicable.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6" w:name="O_1240686"/>
      <w:bookmarkEnd w:id="6"/>
      <w:r w:rsidRPr="004E126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4"/>
        <w:gridCol w:w="5625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PERFORMANCE CRITERIA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Performance criteria describe the performance needed to demonstrate achievement of the element.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Plan work/task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Task requirements are identified from work orders or equivalent, a lift plan is confirmed with associated personnel and a site inspection is conducted in accordance with workplace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Work area operating surface is confirmed to determine the </w:t>
            </w:r>
            <w:r w:rsidRPr="004E1264">
              <w:t>quality of ground suitability for operational use of non-slewing mobile crane in accordance with workplace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Non</w:t>
            </w:r>
            <w:r w:rsidRPr="004E1264">
              <w:t xml:space="preserve">-slewing mobile crane RC and the lifting gear working load limit (WLL) are established for the load/s and work/task requirements in accordance with manufacturer requirements and workplace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Appropriate paths for operating the mobile crane </w:t>
            </w:r>
            <w:r w:rsidRPr="004E1264">
              <w:t xml:space="preserve">and moving and placing load/s in work area are assessed and determined in accordance with workplace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1.5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Relevant hazard identification and risk elimination/control measures are applied and advised to associated personnel in accordance with w</w:t>
            </w:r>
            <w:r w:rsidRPr="004E1264">
              <w:t xml:space="preserve">orkplace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1.6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Traffic management plan implementation is confirmed and followed in accordance with workplace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1.7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Appropriate communication procedures are identified and tested with associated personnel in accordance with workplace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1.8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All tasks are confirmed to ensure requirements for the relevant work area in accordance with a lift plan and workplace</w:t>
            </w:r>
            <w:r w:rsidRPr="004E1264">
              <w:t xml:space="preserve">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1.9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Information required to ensure that lifting equipment and gear inspection, use, maintenance and storage complies with manufacturer requirements is obtained and interpreted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Prepare for work/task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Consultation with workplace personne</w:t>
            </w:r>
            <w:r w:rsidRPr="004E1264">
              <w:t>l is established and maintained to ensure lift plan is clear and consistent with site requirements in accordance with a lift plan and workplace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Risk control measures for hazards identified are checked for implementation in accordance with the lift plan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Non-slewing mobile crane is accessed safely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Pre-start crane checks are carried out and any damage and defects are reported, recorded and appropriate action is taken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2.5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Mobile crane is set up correctly with any lifting ge</w:t>
            </w:r>
            <w:r w:rsidRPr="004E1264">
              <w:t>ar in accordance with lift plan, relevant manufacturer requirements, including load charts,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2.6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Fly jib (if fitted) is set up as required in accordance with specific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2.7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2.8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Crane logbook is checked to confirm current compliance is corr</w:t>
            </w:r>
            <w:r w:rsidRPr="004E1264">
              <w:t>ect for the crane type, is completed and signed and required rectifications have been signed-off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2.9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Weather and work environment conditions are assessed to determine any impact on </w:t>
            </w:r>
            <w:r w:rsidRPr="004E1264">
              <w:t>mobile crane operations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2.10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Weight of load is identified, calculated or estimated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2.11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Derated WLL of lifting equipment resulting from selected slinging techniques is calculated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2.12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Suitable lifting points and slinging techniques are identified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2.13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Lifting equipment and gear are prepared for safe use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2.14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Load destination is confirmed for stability ensuring it is able to bear the load and is prepared for safe access and </w:t>
            </w:r>
            <w:r w:rsidRPr="004E1264">
              <w:t>landing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Perform work/task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Lifts are determined within the RC of the non-slewing mobile crane in accordance with the load chart/s and lift plan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Lifting equipment and gear, where required, are connected to the load and used safe</w:t>
            </w:r>
            <w:r w:rsidRPr="004E1264">
              <w:t>ly in accordance with the lift plan, safe work procedures and manufacturer requirements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Test lift is carried out in accordance with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3.5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Loads are transferred using relevant crane movements and tag lines, as required, in accor</w:t>
            </w:r>
            <w:r w:rsidRPr="004E1264">
              <w:t>dance with lift plan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3.6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Load and crane movement is monitored constantly and crane is operated safely in accordance with lift plan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3.7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All required communication signals are correctly interpreted and followed whilst crane is operated in accordance with the lift plan and safe work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3.8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Load is lowered and landed safely in accordance with lift plan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3.9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3.10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Lifting equipment and gear are inspected for defects, and defective items are isolated,</w:t>
            </w:r>
            <w:r w:rsidRPr="004E1264">
              <w:t xml:space="preserve"> tagged and reported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 xml:space="preserve">Prepare to drive an articulated mobile crane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4.1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Any items on the crane body are safely and effectively restrained and loose components are stored in storage areas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4.2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Pre-operational checks, including registrations and approvals, are completed for driving according to manufacturer instructions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4.3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Tyre pressures and suspension settings are checked and set for driving and counterweights are positioned for road travel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4.4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Boom and fall block are positioned for driving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4.5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Appropriate signage, lights and equipment are checked for operational effectiveness and for conformity to prescribed traffic regulations or site traffic management plan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5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ListBullet"/>
            </w:pPr>
            <w:r w:rsidRPr="004E1264">
              <w:rPr>
                <w:rStyle w:val="SpecialBold"/>
              </w:rPr>
              <w:t>Drive an articulated mobile crane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5.1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Articulated mobile crane is started, steered, manoeuvred, positioned and stopped in accordance with regulations, manufacturer instructions and relevant vehicle handling procedures and allowing for forward overhang of t</w:t>
            </w:r>
            <w:r w:rsidRPr="004E1264">
              <w:t>he boom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5.2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Steering is maintained utilising ‘turn-in-turn-out’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5.3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One-handed steering techniques are applied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5.4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Braking system of articulated mobile crane is managed and operated efficiently to ensure effective control</w:t>
            </w:r>
            <w:r w:rsidRPr="004E1264">
              <w:t xml:space="preserve"> of vehicle under all conditions and allowing for greater stopping distance due to size, weight and forward projection of the boom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5.5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Driving hazards are identified and/or anticipated and avoided or controlled through low risk driving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6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rPr>
                <w:rStyle w:val="SpecialBold"/>
              </w:rPr>
              <w:t>Pack up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6.1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Cr</w:t>
            </w:r>
            <w:r w:rsidRPr="004E1264">
              <w:t>ane boom/jib, lifting gear and associated equipment are stowed and secured as required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6.2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Relevant motion locks and brakes are applied as required in accordance with manufacturer requirements and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6.3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t>Crane is shut down and secured to prevent unauthorised access/use in accordance with safe work procedures</w:t>
            </w:r>
          </w:p>
        </w:tc>
      </w:tr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264">
            <w:pPr>
              <w:pStyle w:val="BodyText"/>
              <w:rPr>
                <w:lang w:val="en-NZ"/>
              </w:rPr>
            </w:pPr>
            <w:r w:rsidRPr="004E1264">
              <w:rPr>
                <w:rStyle w:val="SpecialBold"/>
              </w:rPr>
              <w:t>6.4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Post-oper</w:t>
            </w:r>
            <w:r w:rsidRPr="004E1264">
              <w:t>ational crane checks are carried out in accordance with legislative responsibilities, safe work procedures and manufacturer requirements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7" w:name="O_1240687"/>
      <w:bookmarkEnd w:id="7"/>
      <w:r w:rsidRPr="004E12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Foundation skills essential to performance are explicit in the performance criteria of this unit of competency.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8" w:name="O_1240688"/>
      <w:bookmarkEnd w:id="8"/>
      <w:r w:rsidRPr="004E12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Range is restricted to essential operating conditions and any other variables essential to the work environment.</w:t>
            </w:r>
          </w:p>
          <w:p w:rsidR="00000000" w:rsidRPr="004E1264" w:rsidP="004E1264">
            <w:pPr>
              <w:pStyle w:val="BodyText"/>
            </w:pPr>
            <w:r w:rsidRPr="004E1264">
              <w:t>Non-essential conditions may be found in the TLI Transport and Logistics Training Package Companion Volume Implementation Guide.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9" w:name="O_1240689"/>
      <w:bookmarkEnd w:id="9"/>
      <w:r w:rsidRPr="004E12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264" w:rsidP="004E1264">
            <w:pPr>
              <w:pStyle w:val="BodyText"/>
            </w:pPr>
            <w:r w:rsidRPr="004E1264">
              <w:t>This unit replaces but is not equivalent to TLILIC0018 Licence to operate a non-slewing mobile crane (greater than 3 tonnes capacity).</w:t>
            </w:r>
          </w:p>
        </w:tc>
      </w:tr>
    </w:tbl>
    <w:p w:rsidR="00000000" w:rsidRPr="004E1264" w:rsidP="004E1264">
      <w:pPr>
        <w:pStyle w:val="NoPaddingFontSize1"/>
      </w:pPr>
    </w:p>
    <w:p w:rsidR="00000000" w:rsidRPr="004E1264" w:rsidP="004E1264">
      <w:pPr>
        <w:pStyle w:val="AllowPageBreak"/>
      </w:pPr>
    </w:p>
    <w:p w:rsidR="00000000" w:rsidRPr="004E1264" w:rsidP="004E1264">
      <w:pPr>
        <w:pStyle w:val="Heading1"/>
      </w:pPr>
      <w:bookmarkStart w:id="10" w:name="O_1240696"/>
      <w:bookmarkEnd w:id="10"/>
      <w:r w:rsidRPr="004E1264">
        <w:t>Links</w:t>
      </w:r>
    </w:p>
    <w:p w:rsidR="00000000" w:rsidRPr="004E1264" w:rsidP="001C0FB8">
      <w:pPr>
        <w:pStyle w:val="BodyText"/>
      </w:pPr>
      <w:r w:rsidRPr="004E1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6C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1264" w:rsidP="004E1264"/>
    <w:sectPr w:rsidSect="004E12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4" w:rsidRPr="001C0FB8" w:rsidP="001C0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8" w:rsidP="004E1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0FB8" w:rsidP="004E1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C0FB8" w:rsidP="004E1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264" w:rsidRPr="001C0FB8" w:rsidP="001C0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B8" w:rsidRPr="002D2AF8" w:rsidP="004E1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TLILIC0040 Licence to operate a non-slewing mobile crane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C0FB8" w:rsidP="004E1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C3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B27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264"/>
  </w:style>
  <w:style w:type="character" w:customStyle="1" w:styleId="Heading1Char">
    <w:name w:val="Heading 1 Char"/>
    <w:basedOn w:val="DefaultParagraphFont"/>
    <w:link w:val="Heading1"/>
    <w:rsid w:val="004E1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2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2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264"/>
    <w:rPr>
      <w:b/>
      <w:spacing w:val="0"/>
    </w:rPr>
  </w:style>
  <w:style w:type="paragraph" w:customStyle="1" w:styleId="SuperHeading">
    <w:name w:val="SuperHeading"/>
    <w:basedOn w:val="Normal"/>
    <w:rsid w:val="004E1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1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2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2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2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264"/>
    <w:rPr>
      <w:i/>
    </w:rPr>
  </w:style>
  <w:style w:type="paragraph" w:styleId="Caption">
    <w:name w:val="caption"/>
    <w:basedOn w:val="BodyText"/>
    <w:next w:val="Normal"/>
    <w:qFormat/>
    <w:rsid w:val="004E1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264"/>
  </w:style>
  <w:style w:type="paragraph" w:styleId="TableofFigures">
    <w:name w:val="table of figures"/>
    <w:basedOn w:val="Normal"/>
    <w:next w:val="Normal"/>
    <w:semiHidden/>
    <w:rsid w:val="004E1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2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264"/>
    <w:rPr>
      <w:rFonts w:ascii="Wingdings" w:hAnsi="Wingdings"/>
    </w:rPr>
  </w:style>
  <w:style w:type="paragraph" w:customStyle="1" w:styleId="TableHeading">
    <w:name w:val="Table Heading"/>
    <w:basedOn w:val="HeadingBase"/>
    <w:rsid w:val="004E1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264"/>
    <w:rPr>
      <w:color w:val="0033CC"/>
      <w:u w:val="none"/>
    </w:rPr>
  </w:style>
  <w:style w:type="paragraph" w:customStyle="1" w:styleId="BodyTextRight">
    <w:name w:val="Body Text Right"/>
    <w:basedOn w:val="BodyText"/>
    <w:rsid w:val="004E1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2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264"/>
    <w:rPr>
      <w:sz w:val="32"/>
    </w:rPr>
  </w:style>
  <w:style w:type="paragraph" w:customStyle="1" w:styleId="HeadingProcedure">
    <w:name w:val="Heading Procedure"/>
    <w:basedOn w:val="HeadingBase"/>
    <w:next w:val="Normal"/>
    <w:rsid w:val="004E1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264"/>
    <w:pPr>
      <w:spacing w:before="60" w:after="60"/>
    </w:pPr>
  </w:style>
  <w:style w:type="paragraph" w:styleId="ListContinue">
    <w:name w:val="List Continue"/>
    <w:basedOn w:val="List"/>
    <w:rsid w:val="004E1264"/>
    <w:pPr>
      <w:ind w:firstLine="0"/>
    </w:pPr>
  </w:style>
  <w:style w:type="paragraph" w:customStyle="1" w:styleId="ListNote">
    <w:name w:val="List Note"/>
    <w:basedOn w:val="List"/>
    <w:rsid w:val="004E1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264"/>
    <w:rPr>
      <w:rFonts w:ascii="Courier New" w:hAnsi="Courier New"/>
    </w:rPr>
  </w:style>
  <w:style w:type="paragraph" w:customStyle="1" w:styleId="NoteBullet">
    <w:name w:val="Note Bullet"/>
    <w:basedOn w:val="Note"/>
    <w:rsid w:val="004E1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2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264"/>
    <w:rPr>
      <w:b/>
      <w:smallCaps/>
    </w:rPr>
  </w:style>
  <w:style w:type="paragraph" w:customStyle="1" w:styleId="TableListNumber">
    <w:name w:val="Table List Number"/>
    <w:basedOn w:val="ListNumber"/>
    <w:rsid w:val="004E1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264"/>
    <w:pPr>
      <w:numPr>
        <w:numId w:val="8"/>
      </w:numPr>
    </w:pPr>
  </w:style>
  <w:style w:type="paragraph" w:customStyle="1" w:styleId="ListAlpha2">
    <w:name w:val="List Alpha 2"/>
    <w:basedOn w:val="List2"/>
    <w:rsid w:val="004E1264"/>
    <w:pPr>
      <w:numPr>
        <w:numId w:val="7"/>
      </w:numPr>
    </w:pPr>
  </w:style>
  <w:style w:type="paragraph" w:styleId="List2">
    <w:name w:val="List 2"/>
    <w:basedOn w:val="BodyText"/>
    <w:rsid w:val="004E1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2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2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264"/>
    <w:pPr>
      <w:numPr>
        <w:numId w:val="3"/>
      </w:numPr>
    </w:pPr>
  </w:style>
  <w:style w:type="paragraph" w:styleId="ListContinue2">
    <w:name w:val="List Continue 2"/>
    <w:basedOn w:val="List2"/>
    <w:rsid w:val="004E1264"/>
    <w:pPr>
      <w:ind w:firstLine="0"/>
    </w:pPr>
  </w:style>
  <w:style w:type="paragraph" w:styleId="ListContinue3">
    <w:name w:val="List Continue 3"/>
    <w:basedOn w:val="List3"/>
    <w:rsid w:val="004E1264"/>
    <w:pPr>
      <w:ind w:left="1021" w:firstLine="0"/>
    </w:pPr>
  </w:style>
  <w:style w:type="paragraph" w:styleId="ListContinue4">
    <w:name w:val="List Continue 4"/>
    <w:basedOn w:val="List4"/>
    <w:rsid w:val="004E1264"/>
    <w:pPr>
      <w:ind w:firstLine="0"/>
    </w:pPr>
  </w:style>
  <w:style w:type="paragraph" w:styleId="ListContinue5">
    <w:name w:val="List Continue 5"/>
    <w:basedOn w:val="List5"/>
    <w:rsid w:val="004E1264"/>
    <w:pPr>
      <w:ind w:firstLine="0"/>
    </w:pPr>
  </w:style>
  <w:style w:type="paragraph" w:styleId="ListNumber3">
    <w:name w:val="List Number 3"/>
    <w:basedOn w:val="List3"/>
    <w:rsid w:val="004E1264"/>
    <w:pPr>
      <w:numPr>
        <w:numId w:val="4"/>
      </w:numPr>
    </w:pPr>
  </w:style>
  <w:style w:type="paragraph" w:styleId="ListNumber4">
    <w:name w:val="List Number 4"/>
    <w:basedOn w:val="List4"/>
    <w:rsid w:val="004E1264"/>
    <w:pPr>
      <w:numPr>
        <w:numId w:val="5"/>
      </w:numPr>
    </w:pPr>
  </w:style>
  <w:style w:type="paragraph" w:styleId="ListNumber5">
    <w:name w:val="List Number 5"/>
    <w:basedOn w:val="List5"/>
    <w:rsid w:val="004E1264"/>
    <w:pPr>
      <w:numPr>
        <w:numId w:val="6"/>
      </w:numPr>
    </w:pPr>
  </w:style>
  <w:style w:type="paragraph" w:styleId="BlockText">
    <w:name w:val="Block Text"/>
    <w:basedOn w:val="Normal"/>
    <w:rsid w:val="004E1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264"/>
    <w:rPr>
      <w:sz w:val="16"/>
      <w:vertAlign w:val="superscript"/>
    </w:rPr>
  </w:style>
  <w:style w:type="character" w:customStyle="1" w:styleId="Symbols">
    <w:name w:val="Symbols"/>
    <w:basedOn w:val="DefaultParagraphFont"/>
    <w:rsid w:val="004E1264"/>
    <w:rPr>
      <w:rFonts w:ascii="Symbol" w:hAnsi="Symbol"/>
    </w:rPr>
  </w:style>
  <w:style w:type="character" w:customStyle="1" w:styleId="MenuOptions">
    <w:name w:val="Menu Options"/>
    <w:basedOn w:val="DefaultParagraphFont"/>
    <w:rsid w:val="004E1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264"/>
    <w:rPr>
      <w:b/>
    </w:rPr>
  </w:style>
  <w:style w:type="character" w:customStyle="1" w:styleId="Underlined">
    <w:name w:val="Underlined"/>
    <w:basedOn w:val="DefaultParagraphFont"/>
    <w:rsid w:val="004E1264"/>
    <w:rPr>
      <w:u w:val="single"/>
    </w:rPr>
  </w:style>
  <w:style w:type="paragraph" w:customStyle="1" w:styleId="TableBodyTextRight">
    <w:name w:val="Table Body Text Right"/>
    <w:basedOn w:val="TableBodyText"/>
    <w:rsid w:val="004E1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264"/>
    <w:rPr>
      <w:sz w:val="18"/>
    </w:rPr>
  </w:style>
  <w:style w:type="paragraph" w:customStyle="1" w:styleId="BodySmallRight">
    <w:name w:val="Body Small Right"/>
    <w:basedOn w:val="BodyTextRight"/>
    <w:rsid w:val="004E1264"/>
    <w:rPr>
      <w:sz w:val="18"/>
      <w:szCs w:val="18"/>
    </w:rPr>
  </w:style>
  <w:style w:type="paragraph" w:customStyle="1" w:styleId="MarginEdition">
    <w:name w:val="Margin Edition"/>
    <w:basedOn w:val="MarginNote"/>
    <w:rsid w:val="004E1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264"/>
    <w:rPr>
      <w:sz w:val="2"/>
      <w:szCs w:val="2"/>
    </w:rPr>
  </w:style>
  <w:style w:type="character" w:customStyle="1" w:styleId="Small">
    <w:name w:val="Small"/>
    <w:basedOn w:val="DefaultParagraphFont"/>
    <w:rsid w:val="004E1264"/>
    <w:rPr>
      <w:sz w:val="16"/>
    </w:rPr>
  </w:style>
  <w:style w:type="paragraph" w:customStyle="1" w:styleId="WideTable">
    <w:name w:val="Wide Table"/>
    <w:basedOn w:val="Normal"/>
    <w:rsid w:val="004E1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264"/>
  </w:style>
  <w:style w:type="paragraph" w:styleId="Quote">
    <w:name w:val="Quote"/>
    <w:basedOn w:val="Heading1"/>
    <w:link w:val="QuoteChar"/>
    <w:qFormat/>
    <w:rsid w:val="004E1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264"/>
    <w:pPr>
      <w:pageBreakBefore/>
    </w:pPr>
  </w:style>
  <w:style w:type="paragraph" w:customStyle="1" w:styleId="Border">
    <w:name w:val="Border"/>
    <w:basedOn w:val="Normal"/>
    <w:qFormat/>
    <w:rsid w:val="004E1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264"/>
    <w:rPr>
      <w:u w:val="single"/>
    </w:rPr>
  </w:style>
  <w:style w:type="character" w:customStyle="1" w:styleId="BoldandItalics">
    <w:name w:val="Bold and Italics"/>
    <w:qFormat/>
    <w:rsid w:val="004E1264"/>
    <w:rPr>
      <w:b/>
      <w:i/>
      <w:u w:val="none"/>
    </w:rPr>
  </w:style>
  <w:style w:type="paragraph" w:styleId="BalloonText">
    <w:name w:val="Balloon Text"/>
    <w:basedOn w:val="Normal"/>
    <w:link w:val="BalloonTextChar"/>
    <w:rsid w:val="004E1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264"/>
    <w:pPr>
      <w:spacing w:before="0" w:after="0"/>
    </w:pPr>
  </w:style>
  <w:style w:type="paragraph" w:customStyle="1" w:styleId="BodyTextBold">
    <w:name w:val="Body Text Bold"/>
    <w:basedOn w:val="BodyText"/>
    <w:qFormat/>
    <w:rsid w:val="004E1264"/>
    <w:rPr>
      <w:b/>
    </w:rPr>
  </w:style>
  <w:style w:type="character" w:styleId="Hyperlink">
    <w:name w:val="Hyperlink"/>
    <w:basedOn w:val="DefaultParagraphFont"/>
    <w:uiPriority w:val="99"/>
    <w:unhideWhenUsed/>
    <w:rsid w:val="001C0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1462</Words>
  <Characters>8498</Characters>
  <Application>Microsoft Office Word</Application>
  <DocSecurity>0</DocSecurity>
  <Lines>386</Lines>
  <Paragraphs>177</Paragraphs>
  <ScaleCrop>false</ScaleCrop>
  <Company>Author-it Software Corporation Ltd.</Company>
  <LinksUpToDate>false</LinksUpToDate>
  <CharactersWithSpaces>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TLILIC0040 Licence to operate a non-slewing mobile crane (greater than 3 tonnes capacity)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