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023" w:rsidP="00E350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TLILIC0023 Licence to operate a slewing mobile crane (up to 60 tonnes)</w:t>
      </w:r>
      <w:r>
        <w:fldChar w:fldCharType="end"/>
      </w:r>
    </w:p>
    <w:p w:rsidR="00E35023" w:rsidP="00E35023">
      <w:pPr>
        <w:pStyle w:val="Version"/>
        <w:sectPr w:rsidSect="00F46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D13" w:rsidP="00F46D13">
      <w:pPr>
        <w:pStyle w:val="SuperHeading"/>
      </w:pPr>
      <w:r w:rsidRPr="00F46D13">
        <w:t>TLILIC0023 Licence to operate a slewing mobile crane (up to 60 tonnes)</w:t>
      </w:r>
    </w:p>
    <w:p w:rsidR="00000000" w:rsidRPr="00F46D13" w:rsidP="00F46D13">
      <w:pPr>
        <w:pStyle w:val="Heading1"/>
      </w:pPr>
      <w:bookmarkStart w:id="1" w:name="O_1205369"/>
      <w:bookmarkEnd w:id="1"/>
      <w:r w:rsidRPr="00F46D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Release 1</w:t>
            </w:r>
            <w:r w:rsidRPr="00F46D13">
              <w:t xml:space="preserve">. This is a new release of this unit of competency in the TLI Transport and Logistics Training Package.  </w:t>
            </w:r>
          </w:p>
        </w:tc>
      </w:tr>
    </w:tbl>
    <w:p w:rsidR="00E35023" w:rsidP="00F46D13">
      <w:pPr>
        <w:pStyle w:val="NoPaddingFontSize1"/>
      </w:pPr>
    </w:p>
    <w:p w:rsidR="00E35023" w:rsidP="00F46D13">
      <w:pPr>
        <w:pStyle w:val="NoPaddingFontSize1"/>
      </w:pPr>
    </w:p>
    <w:p w:rsidR="00000000" w:rsidRPr="00F46D13" w:rsidP="00F46D13">
      <w:pPr>
        <w:pStyle w:val="Heading1"/>
      </w:pPr>
      <w:bookmarkStart w:id="2" w:name="O_1205370"/>
      <w:bookmarkEnd w:id="2"/>
      <w:r w:rsidRPr="00F46D1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t>This unit specifies the skills and knowledge required to safely operate a slewing mobile crane with a Maximum Rated Capacity (MRC) up to 60 tonnes in accordance with all relevant legislative responsibilities. Competence in this unit, does not i</w:t>
            </w:r>
            <w:r w:rsidRPr="00F46D13">
              <w:t>n itself result in a High-Risk Work Licence (HRWL) to operate this plant.</w:t>
            </w:r>
          </w:p>
          <w:p w:rsidR="00000000" w:rsidRPr="00F46D13" w:rsidP="00F46D13">
            <w:pPr>
              <w:pStyle w:val="BodyText"/>
            </w:pPr>
            <w:r w:rsidRPr="00F46D13">
              <w:t>Slewing mobile crane means a mobile crane incorporating a boom or jib that can be slewed, but does not include:</w:t>
            </w:r>
          </w:p>
          <w:p w:rsidR="00000000" w:rsidRPr="00F46D13" w:rsidP="00F46D13">
            <w:pPr>
              <w:pStyle w:val="ListBullet"/>
            </w:pPr>
            <w:r w:rsidRPr="00F46D13">
              <w:t>A front-end loader, or</w:t>
            </w:r>
          </w:p>
          <w:p w:rsidR="00000000" w:rsidRPr="00F46D13" w:rsidP="00F46D13">
            <w:pPr>
              <w:pStyle w:val="ListBullet"/>
            </w:pPr>
            <w:r w:rsidRPr="00F46D13">
              <w:t>a backhoe, or</w:t>
            </w:r>
          </w:p>
          <w:p w:rsidR="00000000" w:rsidRPr="00F46D13" w:rsidP="00F46D13">
            <w:pPr>
              <w:pStyle w:val="ListBullet"/>
            </w:pPr>
            <w:r w:rsidRPr="00F46D13">
              <w:t>an excavator, or</w:t>
            </w:r>
          </w:p>
          <w:p w:rsidR="00000000" w:rsidRPr="00F46D13" w:rsidP="00F46D13">
            <w:pPr>
              <w:pStyle w:val="ListBullet"/>
            </w:pPr>
            <w:r w:rsidRPr="00F46D13">
              <w:t>other earth moving equipment, when configured for crane operation.</w:t>
            </w:r>
          </w:p>
          <w:p w:rsidR="00000000" w:rsidRPr="00F46D13" w:rsidP="00F46D13">
            <w:pPr>
              <w:pStyle w:val="BodyText"/>
            </w:pPr>
            <w:r w:rsidRPr="00F46D13">
              <w:t>A person performing this work is required to hold a slewing mobile crane with an MRC up to 60 tonnes HRWL.</w:t>
            </w:r>
          </w:p>
          <w:p w:rsidR="00000000" w:rsidRPr="00F46D13" w:rsidP="00F46D13">
            <w:pPr>
              <w:pStyle w:val="BodyText"/>
            </w:pPr>
            <w:r w:rsidRPr="00F46D13">
              <w:t xml:space="preserve">This unit requires a person operating a slewing mobile crane with an MRC up to 60 </w:t>
            </w:r>
            <w:r w:rsidRPr="00F46D13">
              <w:t>tonnes to:</w:t>
            </w:r>
          </w:p>
          <w:p w:rsidR="00000000" w:rsidRPr="00F46D13" w:rsidP="00F46D13">
            <w:pPr>
              <w:pStyle w:val="ListBullet"/>
            </w:pPr>
            <w:r w:rsidRPr="00F46D13">
              <w:t>plan for the work/task</w:t>
            </w:r>
          </w:p>
          <w:p w:rsidR="00000000" w:rsidRPr="00F46D13" w:rsidP="00F46D13">
            <w:pPr>
              <w:pStyle w:val="ListBullet"/>
            </w:pPr>
            <w:r w:rsidRPr="00F46D13">
              <w:t>prepare for the work/task</w:t>
            </w:r>
          </w:p>
          <w:p w:rsidR="00000000" w:rsidRPr="00F46D13" w:rsidP="00F46D13">
            <w:pPr>
              <w:pStyle w:val="ListBullet"/>
            </w:pPr>
            <w:r w:rsidRPr="00F46D13">
              <w:t>perform work/task</w:t>
            </w:r>
          </w:p>
          <w:p w:rsidR="00000000" w:rsidRPr="00F46D13" w:rsidP="00F46D13">
            <w:pPr>
              <w:pStyle w:val="ListBullet"/>
            </w:pPr>
            <w:r w:rsidRPr="00F46D13">
              <w:t>pack up</w:t>
            </w:r>
          </w:p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Licensing/Regulatory Information</w:t>
            </w:r>
          </w:p>
          <w:p w:rsidR="00000000" w:rsidRPr="00F46D13" w:rsidP="00F46D13">
            <w:pPr>
              <w:pStyle w:val="BodyText"/>
            </w:pPr>
            <w:r w:rsidRPr="00F46D13">
              <w:t xml:space="preserve">Legislative and regulatory requirements are applicable to this unit of competency. </w:t>
            </w:r>
          </w:p>
          <w:p w:rsidR="00000000" w:rsidRPr="00F46D13" w:rsidP="00F46D13">
            <w:pPr>
              <w:pStyle w:val="BodyText"/>
            </w:pPr>
            <w:r w:rsidRPr="00F46D13">
              <w:t xml:space="preserve">This unit is based on the licensing requirements of </w:t>
            </w:r>
            <w:r w:rsidRPr="00F46D13">
              <w:t xml:space="preserve">Part 4.5 of the Model Work Health and Safety (WHS) regulations and meets Commonwealth, state and territory HRWL requirements. </w:t>
            </w:r>
          </w:p>
          <w:p w:rsidR="00000000" w:rsidRPr="00F46D13" w:rsidP="00F46D13">
            <w:pPr>
              <w:pStyle w:val="BodyText"/>
            </w:pPr>
            <w:r w:rsidRPr="00F46D13">
              <w:t>The National Assessment Instrument (NAI) is the mandated assessment for the HRWL to operate the relevant licensing class as detai</w:t>
            </w:r>
            <w:r w:rsidRPr="00F46D13">
              <w:t xml:space="preserve">led in this unit.  </w:t>
            </w:r>
          </w:p>
        </w:tc>
      </w:tr>
    </w:tbl>
    <w:p w:rsidR="00E35023" w:rsidP="00F46D13">
      <w:pPr>
        <w:pStyle w:val="NoPaddingFontSize1"/>
      </w:pPr>
    </w:p>
    <w:p w:rsidR="00E35023" w:rsidP="00F46D13">
      <w:pPr>
        <w:pStyle w:val="NoPaddingFontSize1"/>
      </w:pPr>
    </w:p>
    <w:p w:rsidR="00000000" w:rsidRPr="00F46D13" w:rsidP="00F46D13">
      <w:pPr>
        <w:pStyle w:val="Heading1"/>
      </w:pPr>
      <w:bookmarkStart w:id="3" w:name="O_1205371"/>
      <w:bookmarkEnd w:id="3"/>
      <w:r w:rsidRPr="00F46D1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t>Not applicable.</w:t>
            </w:r>
          </w:p>
        </w:tc>
      </w:tr>
    </w:tbl>
    <w:p w:rsidR="00E35023" w:rsidP="00F46D13">
      <w:pPr>
        <w:pStyle w:val="NoPaddingFontSize1"/>
      </w:pPr>
    </w:p>
    <w:p w:rsidR="00E35023" w:rsidP="00F46D13">
      <w:pPr>
        <w:pStyle w:val="NoPaddingFontSize1"/>
      </w:pPr>
    </w:p>
    <w:p w:rsidR="00000000" w:rsidRPr="00F46D13" w:rsidP="00F46D13">
      <w:pPr>
        <w:pStyle w:val="Heading1"/>
      </w:pPr>
      <w:bookmarkStart w:id="4" w:name="O_1205372"/>
      <w:bookmarkEnd w:id="4"/>
      <w:r w:rsidRPr="00F46D1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t>LIC - Licencing Units.</w:t>
            </w:r>
          </w:p>
        </w:tc>
      </w:tr>
    </w:tbl>
    <w:p w:rsidR="00E35023" w:rsidP="00F46D13">
      <w:pPr>
        <w:pStyle w:val="NoPaddingFontSize1"/>
      </w:pPr>
    </w:p>
    <w:p w:rsidR="00E35023" w:rsidP="00F46D13">
      <w:pPr>
        <w:pStyle w:val="NoPaddingFontSize1"/>
      </w:pPr>
    </w:p>
    <w:p w:rsidR="00000000" w:rsidRPr="00F46D13" w:rsidP="00F46D13">
      <w:pPr>
        <w:pStyle w:val="Heading1"/>
      </w:pPr>
      <w:bookmarkStart w:id="5" w:name="O_1205373"/>
      <w:bookmarkEnd w:id="5"/>
      <w:r w:rsidRPr="00F46D1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t>Not applicable.</w:t>
            </w:r>
          </w:p>
        </w:tc>
      </w:tr>
    </w:tbl>
    <w:p w:rsidR="00E35023" w:rsidP="00F46D13">
      <w:pPr>
        <w:pStyle w:val="NoPaddingFontSize1"/>
      </w:pPr>
    </w:p>
    <w:p w:rsidR="00E35023" w:rsidP="00F46D13">
      <w:pPr>
        <w:pStyle w:val="NoPaddingFontSize1"/>
      </w:pPr>
    </w:p>
    <w:p w:rsidR="00000000" w:rsidRPr="00F46D13" w:rsidP="00F46D13">
      <w:pPr>
        <w:pStyle w:val="Heading1"/>
      </w:pPr>
      <w:bookmarkStart w:id="6" w:name="O_1205374"/>
      <w:bookmarkEnd w:id="6"/>
      <w:r w:rsidRPr="00F46D1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43"/>
        <w:gridCol w:w="721"/>
        <w:gridCol w:w="5628"/>
      </w:tblGrid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ELEMENTS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PERFORMANCE CRITERIA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Elements describe the essential outcomes.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Performance criteria describe the performance needed to demonstrate achievement of the element.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1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Plan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Task requirements are identified from work orders or equivalent, a lift</w:t>
            </w:r>
            <w:r w:rsidRPr="00F46D13">
              <w:t xml:space="preserve"> plan is confirmed with associated personnel and a site inspection is conducted in accordance with workplace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Work area operating surface is confirmed to determine ground suitability for operational use of mobile crane in accordance with lift plan, safe work and workplace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 xml:space="preserve">Mobile crane Rated Capacity (RC) and the lifting gear Working Load Limit </w:t>
            </w:r>
            <w:r w:rsidRPr="00F46D13">
              <w:t xml:space="preserve">(WLL) are established and suitable for the load/s and work/task requirements in accordance with manufacturer requirements and workplace procedures 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Appropriate paths for operating the mobile crane and moving and placing load/s in work area are asses</w:t>
            </w:r>
            <w:r w:rsidRPr="00F46D13">
              <w:t xml:space="preserve">sed and determined in accordance with workplace procedures 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 xml:space="preserve">Relevant hazard identification and risk elimination/control measures are applied and advised to associated personnel in accordance with workplace procedures 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9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 xml:space="preserve">Traffic management plan implementation is confirmed in accordance with workplace procedures 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Appropriate communication procedures are identified with associated personnel in accordance with workplace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All crane and lifting operations are confirmed to ensure relevant work area requirements are correct in accordance with a lift plan and workplace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Information required to ensure that lifting equipment and gear inspection, use, maintenance and storage complies with manufacturer requirements is obtained and interpreted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2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Prepare for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Consultation with workplace personnel is established an</w:t>
            </w:r>
            <w:r w:rsidRPr="00F46D13">
              <w:t>d maintained to ensure all crane and lifting operations are clear and consistent with site requirements in accordance with a lift plan and workplace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Risk control measures for hazards identified are checked for implementation in accordance</w:t>
            </w:r>
            <w:r w:rsidRPr="00F46D13">
              <w:t xml:space="preserve"> with the lift plan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Mobile crane is accessed safely in accordance with manufacturer requirements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Pre-start mobile crane checks are carried out and any damage and defects are reported, recorded and appropriate action is taken in accordance with manufacturer requirements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Mobile crane is set up correctly with any lifting gear and stabilised as per the lift plan in accordance with relevant manufacturer requirements, including load chart/s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Counterweight/s are set up as required in accordance wi</w:t>
            </w:r>
            <w:r w:rsidRPr="00F46D13">
              <w:t>th the lift plan, relevant manufacturer requirements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Fly jib and/or luffing fly are set up as required in accordance with specific manufacturer requirements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Operational checks are carried out and any damage and defects are reported, recorded and appropriate action is taken in accordance with manufacturer requirements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Crane logbook is checked to confirm current compliance, is c</w:t>
            </w:r>
            <w:r w:rsidRPr="00F46D13">
              <w:t>orrect for the crane type, is completed and signed and required rectifications have been signed off in accordance with manufacturer requirements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2.10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Weather and work environment conditions are assessed to determine any impact o</w:t>
            </w:r>
            <w:r w:rsidRPr="00F46D13">
              <w:t>n mobile crane operations in accordance with manufacturer requirements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2.11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Weight of the load is confirmed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2.12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Derated Working Load Limit (WLL) of lifting equipment resulting from</w:t>
            </w:r>
            <w:r w:rsidRPr="00F46D13">
              <w:t xml:space="preserve"> selected slinging techniques is calculated and confirmed as suitable to meet the requirements of the lift plan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2.13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Suitable lifting points and slinging techniques are identified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2.14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Lifting equipment and gear are confirmed as ready for safe use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2.15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Load destination stability is confirmed ensuring it is able to bear the load and is prepared for safe access and landing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3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 xml:space="preserve">Perform work/task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Lifts are determined to be within the RC of the mobile crane in accordance with the load chart/s and li</w:t>
            </w:r>
            <w:r w:rsidRPr="00F46D13">
              <w:t>ft plan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 xml:space="preserve">Boom/jib and hook block are safely positioned over the load following directions from associated personnel in accordance with the lift plan and safe work procedures 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Main and/or auxiliary hook, including any lifting gear where required, are connected to the load and used safely in accordance with the lift plan, safe work procedures and manufacturer requirements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Test lift is carried out in accordance with dogging</w:t>
            </w:r>
            <w:r w:rsidRPr="00F46D13">
              <w:t xml:space="preserve">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Loads are transferred using relevant crane movements and tag lines, as required, in accordance with lift plan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Load and crane movement is monitored constantly and crane is operated safely in accordance with lift plan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 xml:space="preserve">All required communication signals are correctly interpreted and followed whilst crane is operated in accordance with the lift plan and safe work procedures 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Load is lowered and landed safely in accordance with lift plan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3.9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Lifting gear is positioned for safe disconnection from the load and crane is positioned for next task in accordance with lift plan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3.10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Lifting equipment and gear are inspected for defects, and defective items are isolated</w:t>
            </w:r>
            <w:r w:rsidRPr="00F46D13">
              <w:t>, labelled and reported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4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rPr>
                <w:rStyle w:val="SpecialBold"/>
              </w:rPr>
              <w:t>Pack up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Crane boom/jib, lifting gear and associated equipment are stowed and secured as required in accordance with manufacturer requirements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 xml:space="preserve">Crane fly jib and/or luffing </w:t>
            </w:r>
            <w:r w:rsidRPr="00F46D13">
              <w:t>fly and counterweight/s are removed to storage position and secured as required in accordance with manufacturer requirements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Relevant motion locks and brakes are applied as required in accordance with manufacturer requiremen</w:t>
            </w:r>
            <w:r w:rsidRPr="00F46D13">
              <w:t>ts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Outriggers, plates and/or packing are stowed and secured in accordance with manufacturer requirements and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t>Crane is shut down and secured to prevent unauthorised access/use in accordance with safe work procedures</w:t>
            </w:r>
          </w:p>
        </w:tc>
      </w:tr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13">
            <w:pPr>
              <w:pStyle w:val="BodyText"/>
              <w:rPr>
                <w:lang w:val="en-NZ"/>
              </w:rPr>
            </w:pPr>
            <w:r w:rsidRPr="00F46D13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t>Shutdown crane checks are carried out in accordance with safe work procedures and manufacturer requirements</w:t>
            </w:r>
          </w:p>
        </w:tc>
      </w:tr>
    </w:tbl>
    <w:p w:rsidR="00E35023" w:rsidP="00F46D13">
      <w:pPr>
        <w:pStyle w:val="NoPaddingFontSize1"/>
      </w:pPr>
    </w:p>
    <w:p w:rsidR="00E35023" w:rsidP="00F46D13">
      <w:pPr>
        <w:pStyle w:val="NoPaddingFontSize1"/>
      </w:pPr>
    </w:p>
    <w:p w:rsidR="00000000" w:rsidRPr="00F46D13" w:rsidP="00F46D13">
      <w:pPr>
        <w:pStyle w:val="Heading1"/>
      </w:pPr>
      <w:bookmarkStart w:id="7" w:name="O_1205375"/>
      <w:bookmarkEnd w:id="7"/>
      <w:r w:rsidRPr="00F46D1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t>Foundation skills essential to performance are explicit in the performance criteria of this unit of competency.</w:t>
            </w:r>
          </w:p>
        </w:tc>
      </w:tr>
    </w:tbl>
    <w:p w:rsidR="00E35023" w:rsidP="00F46D13">
      <w:pPr>
        <w:pStyle w:val="NoPaddingFontSize1"/>
      </w:pPr>
    </w:p>
    <w:p w:rsidR="00E35023" w:rsidP="00F46D13">
      <w:pPr>
        <w:pStyle w:val="NoPaddingFontSize1"/>
      </w:pPr>
    </w:p>
    <w:p w:rsidR="00000000" w:rsidRPr="00F46D13" w:rsidP="00F46D13">
      <w:pPr>
        <w:pStyle w:val="Heading1"/>
      </w:pPr>
      <w:bookmarkStart w:id="8" w:name="O_1205376"/>
      <w:bookmarkEnd w:id="8"/>
      <w:r w:rsidRPr="00F46D1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t>Range is restricted to essential operating conditions and any other variables essential to the work environment.</w:t>
            </w:r>
          </w:p>
          <w:p w:rsidR="00000000" w:rsidRPr="00F46D13" w:rsidP="00F46D13">
            <w:pPr>
              <w:pStyle w:val="BodyText"/>
            </w:pPr>
            <w:r w:rsidRPr="00F46D13">
              <w:t>Non-essential conditions may be found in the TLI Transport and Logistics Training Package Companion Volume Implementation Guide.</w:t>
            </w:r>
          </w:p>
        </w:tc>
      </w:tr>
    </w:tbl>
    <w:p w:rsidR="00E35023" w:rsidP="00F46D13">
      <w:pPr>
        <w:pStyle w:val="NoPaddingFontSize1"/>
      </w:pPr>
    </w:p>
    <w:p w:rsidR="00E35023" w:rsidP="00F46D13">
      <w:pPr>
        <w:pStyle w:val="NoPaddingFontSize1"/>
      </w:pPr>
    </w:p>
    <w:p w:rsidR="00000000" w:rsidRPr="00F46D13" w:rsidP="00F46D13">
      <w:pPr>
        <w:pStyle w:val="Heading1"/>
      </w:pPr>
      <w:bookmarkStart w:id="9" w:name="O_1205377"/>
      <w:bookmarkEnd w:id="9"/>
      <w:r w:rsidRPr="00F46D1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13" w:rsidP="00F46D13">
            <w:pPr>
              <w:pStyle w:val="BodyText"/>
            </w:pPr>
            <w:r w:rsidRPr="00F46D13">
              <w:t>This unit replaces and is equivalent to TLILIC0013 Licence to operate a slewing mobile crane (up to 60 tonnes).</w:t>
            </w:r>
          </w:p>
        </w:tc>
      </w:tr>
    </w:tbl>
    <w:p w:rsidR="00E35023" w:rsidP="00F46D13">
      <w:pPr>
        <w:pStyle w:val="NoPaddingFontSize1"/>
      </w:pPr>
    </w:p>
    <w:p w:rsidR="00E35023" w:rsidP="00F46D13">
      <w:pPr>
        <w:pStyle w:val="NoPaddingFontSize1"/>
      </w:pPr>
    </w:p>
    <w:p w:rsidR="00000000" w:rsidRPr="00F46D13" w:rsidP="00F46D13">
      <w:pPr>
        <w:pStyle w:val="Heading1"/>
      </w:pPr>
      <w:bookmarkStart w:id="10" w:name="O_1205384"/>
      <w:bookmarkEnd w:id="10"/>
      <w:r w:rsidRPr="00F46D13">
        <w:t>Links</w:t>
      </w:r>
    </w:p>
    <w:p w:rsidR="00000000" w:rsidRPr="00F46D13" w:rsidP="00E35023">
      <w:pPr>
        <w:pStyle w:val="BodyText"/>
      </w:pPr>
      <w:r w:rsidRPr="00F46D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B74B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46D13" w:rsidP="00F46D13"/>
    <w:sectPr w:rsidSect="00F46D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13" w:rsidRPr="00E35023" w:rsidP="00E350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023" w:rsidP="00F46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023" w:rsidP="00F46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35023" w:rsidP="00F46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0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D13" w:rsidRPr="00E35023" w:rsidP="00E350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023" w:rsidRPr="002D2AF8" w:rsidP="00F46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TLILIC0023 Licence to operate a slewing mobile crane (up to 60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35023" w:rsidP="00F46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2C8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18AB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D13"/>
  </w:style>
  <w:style w:type="character" w:customStyle="1" w:styleId="Heading1Char">
    <w:name w:val="Heading 1 Char"/>
    <w:basedOn w:val="DefaultParagraphFont"/>
    <w:link w:val="Heading1"/>
    <w:rsid w:val="00F46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D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6D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6D13"/>
    <w:rPr>
      <w:b/>
      <w:spacing w:val="0"/>
    </w:rPr>
  </w:style>
  <w:style w:type="paragraph" w:customStyle="1" w:styleId="SuperHeading">
    <w:name w:val="SuperHeading"/>
    <w:basedOn w:val="Normal"/>
    <w:rsid w:val="00F46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6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D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D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6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6D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6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D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6D13"/>
    <w:rPr>
      <w:i/>
    </w:rPr>
  </w:style>
  <w:style w:type="paragraph" w:styleId="Caption">
    <w:name w:val="caption"/>
    <w:basedOn w:val="BodyText"/>
    <w:next w:val="Normal"/>
    <w:qFormat/>
    <w:rsid w:val="00F46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D13"/>
  </w:style>
  <w:style w:type="paragraph" w:styleId="TableofFigures">
    <w:name w:val="table of figures"/>
    <w:basedOn w:val="Normal"/>
    <w:next w:val="Normal"/>
    <w:semiHidden/>
    <w:rsid w:val="00F46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D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6D13"/>
    <w:rPr>
      <w:rFonts w:ascii="Wingdings" w:hAnsi="Wingdings"/>
    </w:rPr>
  </w:style>
  <w:style w:type="paragraph" w:customStyle="1" w:styleId="TableHeading">
    <w:name w:val="Table Heading"/>
    <w:basedOn w:val="HeadingBase"/>
    <w:rsid w:val="00F46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D13"/>
    <w:rPr>
      <w:color w:val="0033CC"/>
      <w:u w:val="none"/>
    </w:rPr>
  </w:style>
  <w:style w:type="paragraph" w:customStyle="1" w:styleId="BodyTextRight">
    <w:name w:val="Body Text Right"/>
    <w:basedOn w:val="BodyText"/>
    <w:rsid w:val="00F46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D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D13"/>
    <w:rPr>
      <w:sz w:val="32"/>
    </w:rPr>
  </w:style>
  <w:style w:type="paragraph" w:customStyle="1" w:styleId="HeadingProcedure">
    <w:name w:val="Heading Procedure"/>
    <w:basedOn w:val="HeadingBase"/>
    <w:next w:val="Normal"/>
    <w:rsid w:val="00F46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D13"/>
    <w:pPr>
      <w:spacing w:before="60" w:after="60"/>
    </w:pPr>
  </w:style>
  <w:style w:type="paragraph" w:styleId="ListContinue">
    <w:name w:val="List Continue"/>
    <w:basedOn w:val="List"/>
    <w:rsid w:val="00F46D13"/>
    <w:pPr>
      <w:ind w:firstLine="0"/>
    </w:pPr>
  </w:style>
  <w:style w:type="paragraph" w:customStyle="1" w:styleId="ListNote">
    <w:name w:val="List Note"/>
    <w:basedOn w:val="List"/>
    <w:rsid w:val="00F46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D13"/>
    <w:rPr>
      <w:rFonts w:ascii="Courier New" w:hAnsi="Courier New"/>
    </w:rPr>
  </w:style>
  <w:style w:type="paragraph" w:customStyle="1" w:styleId="NoteBullet">
    <w:name w:val="Note Bullet"/>
    <w:basedOn w:val="Note"/>
    <w:rsid w:val="00F46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D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6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D13"/>
    <w:rPr>
      <w:b/>
      <w:smallCaps/>
    </w:rPr>
  </w:style>
  <w:style w:type="paragraph" w:customStyle="1" w:styleId="TableListNumber">
    <w:name w:val="Table List Number"/>
    <w:basedOn w:val="ListNumber"/>
    <w:rsid w:val="00F46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D13"/>
    <w:pPr>
      <w:numPr>
        <w:numId w:val="8"/>
      </w:numPr>
    </w:pPr>
  </w:style>
  <w:style w:type="paragraph" w:customStyle="1" w:styleId="ListAlpha2">
    <w:name w:val="List Alpha 2"/>
    <w:basedOn w:val="List2"/>
    <w:rsid w:val="00F46D13"/>
    <w:pPr>
      <w:numPr>
        <w:numId w:val="7"/>
      </w:numPr>
    </w:pPr>
  </w:style>
  <w:style w:type="paragraph" w:styleId="List2">
    <w:name w:val="List 2"/>
    <w:basedOn w:val="BodyText"/>
    <w:rsid w:val="00F46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D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D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6D13"/>
    <w:pPr>
      <w:numPr>
        <w:numId w:val="3"/>
      </w:numPr>
    </w:pPr>
  </w:style>
  <w:style w:type="paragraph" w:styleId="ListContinue2">
    <w:name w:val="List Continue 2"/>
    <w:basedOn w:val="List2"/>
    <w:rsid w:val="00F46D13"/>
    <w:pPr>
      <w:ind w:firstLine="0"/>
    </w:pPr>
  </w:style>
  <w:style w:type="paragraph" w:styleId="ListContinue3">
    <w:name w:val="List Continue 3"/>
    <w:basedOn w:val="List3"/>
    <w:rsid w:val="00F46D13"/>
    <w:pPr>
      <w:ind w:left="1021" w:firstLine="0"/>
    </w:pPr>
  </w:style>
  <w:style w:type="paragraph" w:styleId="ListContinue4">
    <w:name w:val="List Continue 4"/>
    <w:basedOn w:val="List4"/>
    <w:rsid w:val="00F46D13"/>
    <w:pPr>
      <w:ind w:firstLine="0"/>
    </w:pPr>
  </w:style>
  <w:style w:type="paragraph" w:styleId="ListContinue5">
    <w:name w:val="List Continue 5"/>
    <w:basedOn w:val="List5"/>
    <w:rsid w:val="00F46D13"/>
    <w:pPr>
      <w:ind w:firstLine="0"/>
    </w:pPr>
  </w:style>
  <w:style w:type="paragraph" w:styleId="ListNumber3">
    <w:name w:val="List Number 3"/>
    <w:basedOn w:val="List3"/>
    <w:rsid w:val="00F46D13"/>
    <w:pPr>
      <w:numPr>
        <w:numId w:val="4"/>
      </w:numPr>
    </w:pPr>
  </w:style>
  <w:style w:type="paragraph" w:styleId="ListNumber4">
    <w:name w:val="List Number 4"/>
    <w:basedOn w:val="List4"/>
    <w:rsid w:val="00F46D13"/>
    <w:pPr>
      <w:numPr>
        <w:numId w:val="5"/>
      </w:numPr>
    </w:pPr>
  </w:style>
  <w:style w:type="paragraph" w:styleId="ListNumber5">
    <w:name w:val="List Number 5"/>
    <w:basedOn w:val="List5"/>
    <w:rsid w:val="00F46D13"/>
    <w:pPr>
      <w:numPr>
        <w:numId w:val="6"/>
      </w:numPr>
    </w:pPr>
  </w:style>
  <w:style w:type="paragraph" w:styleId="BlockText">
    <w:name w:val="Block Text"/>
    <w:basedOn w:val="Normal"/>
    <w:rsid w:val="00F46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D13"/>
    <w:rPr>
      <w:sz w:val="16"/>
      <w:vertAlign w:val="superscript"/>
    </w:rPr>
  </w:style>
  <w:style w:type="character" w:customStyle="1" w:styleId="Symbols">
    <w:name w:val="Symbols"/>
    <w:basedOn w:val="DefaultParagraphFont"/>
    <w:rsid w:val="00F46D13"/>
    <w:rPr>
      <w:rFonts w:ascii="Symbol" w:hAnsi="Symbol"/>
    </w:rPr>
  </w:style>
  <w:style w:type="character" w:customStyle="1" w:styleId="MenuOptions">
    <w:name w:val="Menu Options"/>
    <w:basedOn w:val="DefaultParagraphFont"/>
    <w:rsid w:val="00F46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D13"/>
    <w:rPr>
      <w:b/>
    </w:rPr>
  </w:style>
  <w:style w:type="character" w:customStyle="1" w:styleId="Underlined">
    <w:name w:val="Underlined"/>
    <w:basedOn w:val="DefaultParagraphFont"/>
    <w:rsid w:val="00F46D13"/>
    <w:rPr>
      <w:u w:val="single"/>
    </w:rPr>
  </w:style>
  <w:style w:type="paragraph" w:customStyle="1" w:styleId="TableBodyTextRight">
    <w:name w:val="Table Body Text Right"/>
    <w:basedOn w:val="TableBodyText"/>
    <w:rsid w:val="00F46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D13"/>
    <w:rPr>
      <w:sz w:val="18"/>
    </w:rPr>
  </w:style>
  <w:style w:type="paragraph" w:customStyle="1" w:styleId="BodySmallRight">
    <w:name w:val="Body Small Right"/>
    <w:basedOn w:val="BodyTextRight"/>
    <w:rsid w:val="00F46D13"/>
    <w:rPr>
      <w:sz w:val="18"/>
      <w:szCs w:val="18"/>
    </w:rPr>
  </w:style>
  <w:style w:type="paragraph" w:customStyle="1" w:styleId="MarginEdition">
    <w:name w:val="Margin Edition"/>
    <w:basedOn w:val="MarginNote"/>
    <w:rsid w:val="00F46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D13"/>
    <w:rPr>
      <w:sz w:val="2"/>
      <w:szCs w:val="2"/>
    </w:rPr>
  </w:style>
  <w:style w:type="character" w:customStyle="1" w:styleId="Small">
    <w:name w:val="Small"/>
    <w:basedOn w:val="DefaultParagraphFont"/>
    <w:rsid w:val="00F46D13"/>
    <w:rPr>
      <w:sz w:val="16"/>
    </w:rPr>
  </w:style>
  <w:style w:type="paragraph" w:customStyle="1" w:styleId="WideTable">
    <w:name w:val="Wide Table"/>
    <w:basedOn w:val="Normal"/>
    <w:rsid w:val="00F46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D13"/>
  </w:style>
  <w:style w:type="paragraph" w:styleId="Quote">
    <w:name w:val="Quote"/>
    <w:basedOn w:val="Heading1"/>
    <w:link w:val="QuoteChar"/>
    <w:qFormat/>
    <w:rsid w:val="00F46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D13"/>
    <w:pPr>
      <w:pageBreakBefore/>
    </w:pPr>
  </w:style>
  <w:style w:type="paragraph" w:customStyle="1" w:styleId="Border">
    <w:name w:val="Border"/>
    <w:basedOn w:val="Normal"/>
    <w:qFormat/>
    <w:rsid w:val="00F46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D13"/>
    <w:rPr>
      <w:u w:val="single"/>
    </w:rPr>
  </w:style>
  <w:style w:type="character" w:customStyle="1" w:styleId="BoldandItalics">
    <w:name w:val="Bold and Italics"/>
    <w:qFormat/>
    <w:rsid w:val="00F46D13"/>
    <w:rPr>
      <w:b/>
      <w:i/>
      <w:u w:val="none"/>
    </w:rPr>
  </w:style>
  <w:style w:type="paragraph" w:styleId="BalloonText">
    <w:name w:val="Balloon Text"/>
    <w:basedOn w:val="Normal"/>
    <w:link w:val="BalloonTextChar"/>
    <w:rsid w:val="00F46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D13"/>
    <w:pPr>
      <w:spacing w:before="0" w:after="0"/>
    </w:pPr>
  </w:style>
  <w:style w:type="paragraph" w:customStyle="1" w:styleId="BodyTextBold">
    <w:name w:val="Body Text Bold"/>
    <w:basedOn w:val="BodyText"/>
    <w:qFormat/>
    <w:rsid w:val="00F46D13"/>
    <w:rPr>
      <w:b/>
    </w:rPr>
  </w:style>
  <w:style w:type="character" w:styleId="Hyperlink">
    <w:name w:val="Hyperlink"/>
    <w:basedOn w:val="DefaultParagraphFont"/>
    <w:uiPriority w:val="99"/>
    <w:unhideWhenUsed/>
    <w:rsid w:val="00E350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1324</Words>
  <Characters>7526</Characters>
  <Application>Microsoft Office Word</Application>
  <DocSecurity>0</DocSecurity>
  <Lines>342</Lines>
  <Paragraphs>158</Paragraphs>
  <ScaleCrop>false</ScaleCrop>
  <Company>Author-it Software Corporation Ltd.</Company>
  <LinksUpToDate>false</LinksUpToDate>
  <CharactersWithSpaces>8692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TLILIC0023 Licence to operate a slewing mobile crane (up to 60 tonnes)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