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B27" w:rsidP="00553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TLILIC0022 Licence to operate a slewing mobile crane (up to 20 tonnes)</w:t>
      </w:r>
      <w:r>
        <w:fldChar w:fldCharType="end"/>
      </w:r>
    </w:p>
    <w:p w:rsidR="00553B27" w:rsidP="00553B27">
      <w:pPr>
        <w:pStyle w:val="Version"/>
        <w:sectPr w:rsidSect="003F7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F11" w:rsidP="003F7F11">
      <w:pPr>
        <w:pStyle w:val="SuperHeading"/>
      </w:pPr>
      <w:r w:rsidRPr="003F7F11">
        <w:t>TLILIC0022 Licence to operate a slewing mobile crane (up to 20 tonnes)</w:t>
      </w:r>
    </w:p>
    <w:p w:rsidR="00000000" w:rsidRPr="003F7F11" w:rsidP="003F7F11">
      <w:pPr>
        <w:pStyle w:val="Heading1"/>
      </w:pPr>
      <w:bookmarkStart w:id="1" w:name="O_1205350"/>
      <w:bookmarkEnd w:id="1"/>
      <w:r w:rsidRPr="003F7F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Release 1</w:t>
            </w:r>
            <w:r w:rsidRPr="003F7F11">
              <w:t>. This is the first release of this unit of competency in the TLI Transport and Logistics Training Package.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2" w:name="O_1205351"/>
      <w:bookmarkEnd w:id="2"/>
      <w:r w:rsidRPr="003F7F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This unit specifies the skills and knowledge required to safely operate a slewing mobile crane with a Maximum Rated Capacity (MRC) up to 20 tonnes in accordance with all relevant legislative responsibilities. Competence in this unit, does not i</w:t>
            </w:r>
            <w:r w:rsidRPr="003F7F11">
              <w:t>n itself result in a High-Risk Work Licence (HRWL) to operate this plant.</w:t>
            </w:r>
          </w:p>
          <w:p w:rsidR="00000000" w:rsidRPr="003F7F11" w:rsidP="003F7F11">
            <w:pPr>
              <w:pStyle w:val="BodyText"/>
            </w:pPr>
            <w:r w:rsidRPr="003F7F11">
              <w:t>Slewing mobile crane means a mobile crane incorporating a boom or jib that can be slewed, but does not include:</w:t>
            </w:r>
          </w:p>
          <w:p w:rsidR="00000000" w:rsidRPr="003F7F11" w:rsidP="003F7F11">
            <w:pPr>
              <w:pStyle w:val="ListBullet"/>
            </w:pPr>
            <w:r w:rsidRPr="003F7F11">
              <w:t>a front-end loader, or</w:t>
            </w:r>
          </w:p>
          <w:p w:rsidR="00000000" w:rsidRPr="003F7F11" w:rsidP="003F7F11">
            <w:pPr>
              <w:pStyle w:val="ListBullet"/>
            </w:pPr>
            <w:r w:rsidRPr="003F7F11">
              <w:t>a backhoe, or</w:t>
            </w:r>
          </w:p>
          <w:p w:rsidR="00000000" w:rsidRPr="003F7F11" w:rsidP="003F7F11">
            <w:pPr>
              <w:pStyle w:val="ListBullet"/>
            </w:pPr>
            <w:r w:rsidRPr="003F7F11">
              <w:t>an excavator, or</w:t>
            </w:r>
          </w:p>
          <w:p w:rsidR="00000000" w:rsidRPr="003F7F11" w:rsidP="003F7F11">
            <w:pPr>
              <w:pStyle w:val="ListBullet"/>
            </w:pPr>
            <w:r w:rsidRPr="003F7F11">
              <w:t>other earth moving equipment, when configured for crane operation.</w:t>
            </w:r>
          </w:p>
          <w:p w:rsidR="00000000" w:rsidRPr="003F7F11" w:rsidP="003F7F11">
            <w:pPr>
              <w:pStyle w:val="BodyText"/>
            </w:pPr>
            <w:r w:rsidRPr="003F7F11">
              <w:t>A person performing this work is required to hold a slewing mobile crane with a MRC up to 20 tonnes HRWL.</w:t>
            </w:r>
          </w:p>
          <w:p w:rsidR="00000000" w:rsidRPr="003F7F11" w:rsidP="003F7F11">
            <w:pPr>
              <w:pStyle w:val="BodyText"/>
            </w:pPr>
            <w:r w:rsidRPr="003F7F11">
              <w:t>This unit requires a person operating a slewing mobile crane with an MRC up to 20 t</w:t>
            </w:r>
            <w:r w:rsidRPr="003F7F11">
              <w:t xml:space="preserve">onnes to: </w:t>
            </w:r>
          </w:p>
          <w:p w:rsidR="00000000" w:rsidRPr="003F7F11" w:rsidP="003F7F11">
            <w:pPr>
              <w:pStyle w:val="ListBullet"/>
            </w:pPr>
            <w:r w:rsidRPr="003F7F11">
              <w:t>plan for the work/task</w:t>
            </w:r>
          </w:p>
          <w:p w:rsidR="00000000" w:rsidRPr="003F7F11" w:rsidP="003F7F11">
            <w:pPr>
              <w:pStyle w:val="ListBullet"/>
            </w:pPr>
            <w:r w:rsidRPr="003F7F11">
              <w:t>prepare for the work/task</w:t>
            </w:r>
          </w:p>
          <w:p w:rsidR="00000000" w:rsidRPr="003F7F11" w:rsidP="003F7F11">
            <w:pPr>
              <w:pStyle w:val="ListBullet"/>
            </w:pPr>
            <w:r w:rsidRPr="003F7F11">
              <w:t xml:space="preserve">perform work/task </w:t>
            </w:r>
          </w:p>
          <w:p w:rsidR="00000000" w:rsidRPr="003F7F11" w:rsidP="003F7F11">
            <w:pPr>
              <w:pStyle w:val="ListBullet"/>
            </w:pPr>
            <w:r w:rsidRPr="003F7F11">
              <w:t xml:space="preserve">pack up. </w:t>
            </w:r>
          </w:p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Licensing/Regulatory Information</w:t>
            </w:r>
          </w:p>
          <w:p w:rsidR="00000000" w:rsidRPr="003F7F11" w:rsidP="003F7F11">
            <w:pPr>
              <w:pStyle w:val="BodyText"/>
            </w:pPr>
            <w:r w:rsidRPr="003F7F11">
              <w:t xml:space="preserve">Legislative and regulatory requirements are applicable to this unit of competency. </w:t>
            </w:r>
          </w:p>
          <w:p w:rsidR="00000000" w:rsidRPr="003F7F11" w:rsidP="003F7F11">
            <w:pPr>
              <w:pStyle w:val="BodyText"/>
            </w:pPr>
            <w:r w:rsidRPr="003F7F11">
              <w:t xml:space="preserve">This unit is based on the licensing requirements </w:t>
            </w:r>
            <w:r w:rsidRPr="003F7F11">
              <w:t xml:space="preserve">of Part 4.5 of the Model Work Health and Safety (WHS) regulations and meets Commonwealth, state and territory HRWL requirements. </w:t>
            </w:r>
          </w:p>
          <w:p w:rsidR="00000000" w:rsidRPr="003F7F11" w:rsidP="003F7F11">
            <w:pPr>
              <w:pStyle w:val="BodyText"/>
            </w:pPr>
            <w:r w:rsidRPr="003F7F11">
              <w:t>The National Assessment Instrument (NAI) is the mandated assessment for the HRWL to operate the relevant licensing class as de</w:t>
            </w:r>
            <w:r w:rsidRPr="003F7F11">
              <w:t xml:space="preserve">tailed in this unit.  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3" w:name="O_1205352"/>
      <w:bookmarkEnd w:id="3"/>
      <w:r w:rsidRPr="003F7F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Not applicable.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4" w:name="O_1205353"/>
      <w:bookmarkEnd w:id="4"/>
      <w:r w:rsidRPr="003F7F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LIC - Licencing Units.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5" w:name="O_1205354"/>
      <w:bookmarkEnd w:id="5"/>
      <w:r w:rsidRPr="003F7F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Not applicable.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6" w:name="O_1205355"/>
      <w:bookmarkEnd w:id="6"/>
      <w:r w:rsidRPr="003F7F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PERFORMANCE CRITERIA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Performance criteria describe the performance needed to demonstrate achievement of the element.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Task requirements are identified from work orders or equivalent, a lift plan is confirmed with associated personnel and a site inspection is conducted in accordance with workplace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Work area operating surface is confirmed to determine ground suitability for operational use of mobile crane in accordance with workplace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Mobile crane Rated Capacity (RC) and the lifting gear Working Load Limit (WLL) are established for t</w:t>
            </w:r>
            <w:r w:rsidRPr="003F7F11">
              <w:t xml:space="preserve">he load/s and work/task requirements in accordance with manufacturer requirements and workplace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Appropriate paths for operating the mobile crane and moving and placing load/s in work area are </w:t>
            </w:r>
            <w:r w:rsidRPr="003F7F11">
              <w:t xml:space="preserve">assessed and determined in accordance with workplace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Traffic management plan implementation is confirmed in accordance with workplace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Appropriate communication procedures are identified with associated personnel in accordance with workplace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All crane and lifting operations are confirmed to ensure relevant work area requirements are correct in </w:t>
            </w:r>
            <w:r w:rsidRPr="003F7F11">
              <w:t>accordance with a lift plan and workplace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Information required to ensure that lifting equipment and gear inspection, use, maintenance </w:t>
            </w:r>
            <w:r w:rsidRPr="003F7F11">
              <w:t>and storage complies with manufacturer requirements is obtained and interpreted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Consultation with workplace personnel is established and maintained to ensure lift plan is clear and consistent with site requirements in accordanc</w:t>
            </w:r>
            <w:r w:rsidRPr="003F7F11">
              <w:t>e with a lift plan and workplace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Risk control measures for hazards identified are checked for implementation in accordance with the lift plan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Mobile crane is accessed safely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Mobile crane is set up correctly with any lifting g</w:t>
            </w:r>
            <w:r w:rsidRPr="003F7F11">
              <w:t>ear and stabilised as per the lift plan in accordance with relevant manufacturer requirements, including load chart/s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Fly jib is set up as required in accordance with specific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Operational checks are carried out and any damage and defects are reported, recorded and appropriate action is taken in accordance with manu</w:t>
            </w:r>
            <w:r w:rsidRPr="003F7F11">
              <w:t>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Crane logbook is checked to confirm current compliance, is correct for the crane type, is completed and signed and required rectifications have been signed </w:t>
            </w:r>
            <w:r w:rsidRPr="003F7F11">
              <w:t>off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Weather and work environment conditions are assessed to determine any impact on mobile crane operations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Weight of the load is confirmed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Derated WLL of lifting equipment resulting from selected slinging techniques is calculated and confirmed as suitable to meet the requirements of the lift plan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Suitable lifting points and slinging techniques are identified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Lifting equipment and gear are confirmed as ready for safe use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Load destination stability is confirmed ensuring it is able to bear the load and is prepared for safe access and landing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Lifts are determined within the RC of the mobile crane in accordance with the load chart/s and lift plan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</w:t>
            </w:r>
            <w:r w:rsidRPr="003F7F11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Main hook, including any liftin</w:t>
            </w:r>
            <w:r w:rsidRPr="003F7F11">
              <w:t>g gear where required, are connected to the load and used safely in accordance with the lift plan, safe work procedures and manufacturer requirements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Test lift is carried out in accordance with dogging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Loads are transferred using relevant crane movements and tag lines, as required, in accordance with lift plan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Load and crane movement is monitored constantly and crane is operated safely in accordance with lift plan and safe</w:t>
            </w:r>
            <w:r w:rsidRPr="003F7F11">
              <w:t xml:space="preserve">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Load is lowered and landed safely in accordance with lift plan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 xml:space="preserve">Lifting gear is positioned for safe disconnection from the load and crane is positioned for next task in accordance with lift plan and safe work procedures 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Lifting equipment and gear are inspected for defects, and defective items are isolated, tagged and reported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rPr>
                <w:rStyle w:val="SpecialBold"/>
              </w:rPr>
              <w:t xml:space="preserve">Pack up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Crane boom/jib, lifting gear and associated equipment are stowed and secured as required in accordance with manufacturer requi</w:t>
            </w:r>
            <w:r w:rsidRPr="003F7F11">
              <w:t>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Crane fly jib is removed to storage position and secured as required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Relevant motion locks and brakes are applied as required in accordance with manufacturer requirements and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Outriggers, plates and/or packing are stowed and secured in accordance with manufacturer requirements and safe work proced</w:t>
            </w:r>
            <w:r w:rsidRPr="003F7F11">
              <w:t>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t>Crane is shut down and secured to prevent unauthorised access/use in accordance with safe work procedures</w:t>
            </w:r>
          </w:p>
        </w:tc>
      </w:tr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11">
            <w:pPr>
              <w:pStyle w:val="BodyText"/>
              <w:rPr>
                <w:lang w:val="en-NZ"/>
              </w:rPr>
            </w:pPr>
            <w:r w:rsidRPr="003F7F11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Shutdown crane checks are carried out in accordance with safe work procedures and manufacturer requirements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7" w:name="O_1205356"/>
      <w:bookmarkEnd w:id="7"/>
      <w:r w:rsidRPr="003F7F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Foundation skills essential to performance are explicit in the performance criteria of this unit of competency.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8" w:name="O_1205357"/>
      <w:bookmarkEnd w:id="8"/>
      <w:r w:rsidRPr="003F7F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Range is restricted to essential operating conditions and any other variables essent</w:t>
            </w:r>
            <w:r w:rsidRPr="003F7F11">
              <w:t>ial to the work environment.</w:t>
            </w:r>
          </w:p>
          <w:p w:rsidR="00000000" w:rsidRPr="003F7F11" w:rsidP="003F7F11">
            <w:pPr>
              <w:pStyle w:val="BodyText"/>
            </w:pPr>
            <w:r w:rsidRPr="003F7F11">
              <w:t>Non-essential conditions may be found in the TLI Transport and Logistics Training Package Companion Volume Implementation Guide.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9" w:name="O_1205358"/>
      <w:bookmarkEnd w:id="9"/>
      <w:r w:rsidRPr="003F7F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F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11" w:rsidP="003F7F11">
            <w:pPr>
              <w:pStyle w:val="BodyText"/>
            </w:pPr>
            <w:r w:rsidRPr="003F7F11">
              <w:t>This unit replaces and is equivalent to TLILIC0010 Licence to operate a slewing mobile crane (up to 20 tonnes).</w:t>
            </w:r>
          </w:p>
        </w:tc>
      </w:tr>
    </w:tbl>
    <w:p w:rsidR="00553B27" w:rsidP="003F7F11">
      <w:pPr>
        <w:pStyle w:val="NoPaddingFontSize1"/>
      </w:pPr>
    </w:p>
    <w:p w:rsidR="00553B27" w:rsidP="003F7F11">
      <w:pPr>
        <w:pStyle w:val="NoPaddingFontSize1"/>
      </w:pPr>
    </w:p>
    <w:p w:rsidR="00000000" w:rsidRPr="003F7F11" w:rsidP="003F7F11">
      <w:pPr>
        <w:pStyle w:val="Heading1"/>
      </w:pPr>
      <w:bookmarkStart w:id="10" w:name="O_1205365"/>
      <w:bookmarkEnd w:id="10"/>
      <w:r w:rsidRPr="003F7F11">
        <w:t>Links</w:t>
      </w:r>
    </w:p>
    <w:p w:rsidR="00000000" w:rsidRPr="003F7F11" w:rsidP="00553B27">
      <w:pPr>
        <w:pStyle w:val="BodyText"/>
      </w:pPr>
      <w:r w:rsidRPr="003F7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38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F7F11" w:rsidP="003F7F11"/>
    <w:sectPr w:rsidSect="003F7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11" w:rsidRPr="00553B27" w:rsidP="00553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27" w:rsidP="003F7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B27" w:rsidP="003F7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53B27" w:rsidP="003F7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F11" w:rsidRPr="00553B27" w:rsidP="00553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27" w:rsidRPr="002D2AF8" w:rsidP="003F7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TLILIC0022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3B27" w:rsidP="003F7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A80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E0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F11"/>
  </w:style>
  <w:style w:type="character" w:customStyle="1" w:styleId="Heading1Char">
    <w:name w:val="Heading 1 Char"/>
    <w:basedOn w:val="DefaultParagraphFont"/>
    <w:link w:val="Heading1"/>
    <w:rsid w:val="003F7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F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F11"/>
    <w:rPr>
      <w:b/>
      <w:spacing w:val="0"/>
    </w:rPr>
  </w:style>
  <w:style w:type="paragraph" w:customStyle="1" w:styleId="SuperHeading">
    <w:name w:val="SuperHeading"/>
    <w:basedOn w:val="Normal"/>
    <w:rsid w:val="003F7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7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F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F11"/>
    <w:rPr>
      <w:i/>
    </w:rPr>
  </w:style>
  <w:style w:type="paragraph" w:styleId="Caption">
    <w:name w:val="caption"/>
    <w:basedOn w:val="BodyText"/>
    <w:next w:val="Normal"/>
    <w:qFormat/>
    <w:rsid w:val="003F7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F11"/>
  </w:style>
  <w:style w:type="paragraph" w:styleId="TableofFigures">
    <w:name w:val="table of figures"/>
    <w:basedOn w:val="Normal"/>
    <w:next w:val="Normal"/>
    <w:semiHidden/>
    <w:rsid w:val="003F7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F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F11"/>
    <w:rPr>
      <w:rFonts w:ascii="Wingdings" w:hAnsi="Wingdings"/>
    </w:rPr>
  </w:style>
  <w:style w:type="paragraph" w:customStyle="1" w:styleId="TableHeading">
    <w:name w:val="Table Heading"/>
    <w:basedOn w:val="HeadingBase"/>
    <w:rsid w:val="003F7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F11"/>
    <w:rPr>
      <w:color w:val="0033CC"/>
      <w:u w:val="none"/>
    </w:rPr>
  </w:style>
  <w:style w:type="paragraph" w:customStyle="1" w:styleId="BodyTextRight">
    <w:name w:val="Body Text Right"/>
    <w:basedOn w:val="BodyText"/>
    <w:rsid w:val="003F7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F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F11"/>
    <w:rPr>
      <w:sz w:val="32"/>
    </w:rPr>
  </w:style>
  <w:style w:type="paragraph" w:customStyle="1" w:styleId="HeadingProcedure">
    <w:name w:val="Heading Procedure"/>
    <w:basedOn w:val="HeadingBase"/>
    <w:next w:val="Normal"/>
    <w:rsid w:val="003F7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F11"/>
    <w:pPr>
      <w:spacing w:before="60" w:after="60"/>
    </w:pPr>
  </w:style>
  <w:style w:type="paragraph" w:styleId="ListContinue">
    <w:name w:val="List Continue"/>
    <w:basedOn w:val="List"/>
    <w:rsid w:val="003F7F11"/>
    <w:pPr>
      <w:ind w:firstLine="0"/>
    </w:pPr>
  </w:style>
  <w:style w:type="paragraph" w:customStyle="1" w:styleId="ListNote">
    <w:name w:val="List Note"/>
    <w:basedOn w:val="List"/>
    <w:rsid w:val="003F7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F11"/>
    <w:rPr>
      <w:rFonts w:ascii="Courier New" w:hAnsi="Courier New"/>
    </w:rPr>
  </w:style>
  <w:style w:type="paragraph" w:customStyle="1" w:styleId="NoteBullet">
    <w:name w:val="Note Bullet"/>
    <w:basedOn w:val="Note"/>
    <w:rsid w:val="003F7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F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F11"/>
    <w:rPr>
      <w:b/>
      <w:smallCaps/>
    </w:rPr>
  </w:style>
  <w:style w:type="paragraph" w:customStyle="1" w:styleId="TableListNumber">
    <w:name w:val="Table List Number"/>
    <w:basedOn w:val="ListNumber"/>
    <w:rsid w:val="003F7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F11"/>
    <w:pPr>
      <w:numPr>
        <w:numId w:val="8"/>
      </w:numPr>
    </w:pPr>
  </w:style>
  <w:style w:type="paragraph" w:customStyle="1" w:styleId="ListAlpha2">
    <w:name w:val="List Alpha 2"/>
    <w:basedOn w:val="List2"/>
    <w:rsid w:val="003F7F11"/>
    <w:pPr>
      <w:numPr>
        <w:numId w:val="7"/>
      </w:numPr>
    </w:pPr>
  </w:style>
  <w:style w:type="paragraph" w:styleId="List2">
    <w:name w:val="List 2"/>
    <w:basedOn w:val="BodyText"/>
    <w:rsid w:val="003F7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F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F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F11"/>
    <w:pPr>
      <w:numPr>
        <w:numId w:val="3"/>
      </w:numPr>
    </w:pPr>
  </w:style>
  <w:style w:type="paragraph" w:styleId="ListContinue2">
    <w:name w:val="List Continue 2"/>
    <w:basedOn w:val="List2"/>
    <w:rsid w:val="003F7F11"/>
    <w:pPr>
      <w:ind w:firstLine="0"/>
    </w:pPr>
  </w:style>
  <w:style w:type="paragraph" w:styleId="ListContinue3">
    <w:name w:val="List Continue 3"/>
    <w:basedOn w:val="List3"/>
    <w:rsid w:val="003F7F11"/>
    <w:pPr>
      <w:ind w:left="1021" w:firstLine="0"/>
    </w:pPr>
  </w:style>
  <w:style w:type="paragraph" w:styleId="ListContinue4">
    <w:name w:val="List Continue 4"/>
    <w:basedOn w:val="List4"/>
    <w:rsid w:val="003F7F11"/>
    <w:pPr>
      <w:ind w:firstLine="0"/>
    </w:pPr>
  </w:style>
  <w:style w:type="paragraph" w:styleId="ListContinue5">
    <w:name w:val="List Continue 5"/>
    <w:basedOn w:val="List5"/>
    <w:rsid w:val="003F7F11"/>
    <w:pPr>
      <w:ind w:firstLine="0"/>
    </w:pPr>
  </w:style>
  <w:style w:type="paragraph" w:styleId="ListNumber3">
    <w:name w:val="List Number 3"/>
    <w:basedOn w:val="List3"/>
    <w:rsid w:val="003F7F11"/>
    <w:pPr>
      <w:numPr>
        <w:numId w:val="4"/>
      </w:numPr>
    </w:pPr>
  </w:style>
  <w:style w:type="paragraph" w:styleId="ListNumber4">
    <w:name w:val="List Number 4"/>
    <w:basedOn w:val="List4"/>
    <w:rsid w:val="003F7F11"/>
    <w:pPr>
      <w:numPr>
        <w:numId w:val="5"/>
      </w:numPr>
    </w:pPr>
  </w:style>
  <w:style w:type="paragraph" w:styleId="ListNumber5">
    <w:name w:val="List Number 5"/>
    <w:basedOn w:val="List5"/>
    <w:rsid w:val="003F7F11"/>
    <w:pPr>
      <w:numPr>
        <w:numId w:val="6"/>
      </w:numPr>
    </w:pPr>
  </w:style>
  <w:style w:type="paragraph" w:styleId="BlockText">
    <w:name w:val="Block Text"/>
    <w:basedOn w:val="Normal"/>
    <w:rsid w:val="003F7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F11"/>
    <w:rPr>
      <w:sz w:val="16"/>
      <w:vertAlign w:val="superscript"/>
    </w:rPr>
  </w:style>
  <w:style w:type="character" w:customStyle="1" w:styleId="Symbols">
    <w:name w:val="Symbols"/>
    <w:basedOn w:val="DefaultParagraphFont"/>
    <w:rsid w:val="003F7F11"/>
    <w:rPr>
      <w:rFonts w:ascii="Symbol" w:hAnsi="Symbol"/>
    </w:rPr>
  </w:style>
  <w:style w:type="character" w:customStyle="1" w:styleId="MenuOptions">
    <w:name w:val="Menu Options"/>
    <w:basedOn w:val="DefaultParagraphFont"/>
    <w:rsid w:val="003F7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F11"/>
    <w:rPr>
      <w:b/>
    </w:rPr>
  </w:style>
  <w:style w:type="character" w:customStyle="1" w:styleId="Underlined">
    <w:name w:val="Underlined"/>
    <w:basedOn w:val="DefaultParagraphFont"/>
    <w:rsid w:val="003F7F11"/>
    <w:rPr>
      <w:u w:val="single"/>
    </w:rPr>
  </w:style>
  <w:style w:type="paragraph" w:customStyle="1" w:styleId="TableBodyTextRight">
    <w:name w:val="Table Body Text Right"/>
    <w:basedOn w:val="TableBodyText"/>
    <w:rsid w:val="003F7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F11"/>
    <w:rPr>
      <w:sz w:val="18"/>
    </w:rPr>
  </w:style>
  <w:style w:type="paragraph" w:customStyle="1" w:styleId="BodySmallRight">
    <w:name w:val="Body Small Right"/>
    <w:basedOn w:val="BodyTextRight"/>
    <w:rsid w:val="003F7F11"/>
    <w:rPr>
      <w:sz w:val="18"/>
      <w:szCs w:val="18"/>
    </w:rPr>
  </w:style>
  <w:style w:type="paragraph" w:customStyle="1" w:styleId="MarginEdition">
    <w:name w:val="Margin Edition"/>
    <w:basedOn w:val="MarginNote"/>
    <w:rsid w:val="003F7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F11"/>
    <w:rPr>
      <w:sz w:val="2"/>
      <w:szCs w:val="2"/>
    </w:rPr>
  </w:style>
  <w:style w:type="character" w:customStyle="1" w:styleId="Small">
    <w:name w:val="Small"/>
    <w:basedOn w:val="DefaultParagraphFont"/>
    <w:rsid w:val="003F7F11"/>
    <w:rPr>
      <w:sz w:val="16"/>
    </w:rPr>
  </w:style>
  <w:style w:type="paragraph" w:customStyle="1" w:styleId="WideTable">
    <w:name w:val="Wide Table"/>
    <w:basedOn w:val="Normal"/>
    <w:rsid w:val="003F7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F11"/>
  </w:style>
  <w:style w:type="paragraph" w:styleId="Quote">
    <w:name w:val="Quote"/>
    <w:basedOn w:val="Heading1"/>
    <w:link w:val="QuoteChar"/>
    <w:qFormat/>
    <w:rsid w:val="003F7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F11"/>
    <w:pPr>
      <w:pageBreakBefore/>
    </w:pPr>
  </w:style>
  <w:style w:type="paragraph" w:customStyle="1" w:styleId="Border">
    <w:name w:val="Border"/>
    <w:basedOn w:val="Normal"/>
    <w:qFormat/>
    <w:rsid w:val="003F7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F11"/>
    <w:rPr>
      <w:u w:val="single"/>
    </w:rPr>
  </w:style>
  <w:style w:type="character" w:customStyle="1" w:styleId="BoldandItalics">
    <w:name w:val="Bold and Italics"/>
    <w:qFormat/>
    <w:rsid w:val="003F7F11"/>
    <w:rPr>
      <w:b/>
      <w:i/>
      <w:u w:val="none"/>
    </w:rPr>
  </w:style>
  <w:style w:type="paragraph" w:styleId="BalloonText">
    <w:name w:val="Balloon Text"/>
    <w:basedOn w:val="Normal"/>
    <w:link w:val="BalloonTextChar"/>
    <w:rsid w:val="003F7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F11"/>
    <w:pPr>
      <w:spacing w:before="0" w:after="0"/>
    </w:pPr>
  </w:style>
  <w:style w:type="paragraph" w:customStyle="1" w:styleId="BodyTextBold">
    <w:name w:val="Body Text Bold"/>
    <w:basedOn w:val="BodyText"/>
    <w:qFormat/>
    <w:rsid w:val="003F7F11"/>
    <w:rPr>
      <w:b/>
    </w:rPr>
  </w:style>
  <w:style w:type="character" w:styleId="Hyperlink">
    <w:name w:val="Hyperlink"/>
    <w:basedOn w:val="DefaultParagraphFont"/>
    <w:uiPriority w:val="99"/>
    <w:unhideWhenUsed/>
    <w:rsid w:val="00553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1279</Words>
  <Characters>7269</Characters>
  <Application>Microsoft Office Word</Application>
  <DocSecurity>0</DocSecurity>
  <Lines>330</Lines>
  <Paragraphs>155</Paragraphs>
  <ScaleCrop>false</ScaleCrop>
  <Company>Author-it Software Corporation Ltd.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TLILIC0022 Licence to operate a slewing mobile crane (up to 20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