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25B" w:rsidP="008D325B">
      <w:pPr>
        <w:pStyle w:val="Title"/>
      </w:pPr>
      <w:r>
        <w:fldChar w:fldCharType="begin"/>
      </w:r>
      <w:r>
        <w:instrText xml:space="preserve"> TITLE   \* MERGEFORMAT </w:instrText>
      </w:r>
      <w:r>
        <w:fldChar w:fldCharType="separate"/>
      </w:r>
      <w:r>
        <w:t>TLILIC0021 Licence to operate a slewing mobile crane (up to 100 Tonnes)</w:t>
      </w:r>
      <w:r>
        <w:fldChar w:fldCharType="end"/>
      </w:r>
    </w:p>
    <w:p w:rsidR="008D325B" w:rsidP="008D325B">
      <w:pPr>
        <w:pStyle w:val="Version"/>
        <w:sectPr w:rsidSect="002F4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020" w:rsidP="002F4020">
      <w:pPr>
        <w:pStyle w:val="SuperHeading"/>
      </w:pPr>
      <w:r w:rsidRPr="002F4020">
        <w:t>TLILIC0021 Licence to operate a slewing mobile crane (up to 100 Tonnes)</w:t>
      </w:r>
    </w:p>
    <w:p w:rsidR="00000000" w:rsidRPr="002F4020" w:rsidP="002F4020">
      <w:pPr>
        <w:pStyle w:val="Heading1"/>
      </w:pPr>
      <w:bookmarkStart w:id="1" w:name="O_1205331"/>
      <w:bookmarkEnd w:id="1"/>
      <w:r w:rsidRPr="002F4020">
        <w:t>Modification History</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Release 1</w:t>
            </w:r>
            <w:r w:rsidRPr="002F4020">
              <w:t>. This is the first release of this unit of competency in the TLI Transport and Logistics Training Package.</w:t>
            </w:r>
          </w:p>
        </w:tc>
      </w:tr>
    </w:tbl>
    <w:p w:rsidR="008D325B" w:rsidP="002F4020">
      <w:pPr>
        <w:pStyle w:val="NoPaddingFontSize1"/>
      </w:pPr>
    </w:p>
    <w:p w:rsidR="008D325B" w:rsidP="002F4020">
      <w:pPr>
        <w:pStyle w:val="NoPaddingFontSize1"/>
      </w:pPr>
    </w:p>
    <w:p w:rsidR="00000000" w:rsidRPr="002F4020" w:rsidP="002F4020">
      <w:pPr>
        <w:pStyle w:val="Heading1"/>
      </w:pPr>
      <w:bookmarkStart w:id="2" w:name="O_1205332"/>
      <w:bookmarkEnd w:id="2"/>
      <w:r w:rsidRPr="002F4020">
        <w:t>Application</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This unit specifies the skills and knowledge required to safely operate a slewing mobile crane with a Maximum Rated Capacity (MRC) up to 100 tonnes, in accordance with all relevant legislative responsibilities. Competence in this unit, does not</w:t>
            </w:r>
            <w:r w:rsidRPr="002F4020">
              <w:t xml:space="preserve"> in itself result in a High-Risk Work Licence (HRWL) to operate this plant.</w:t>
            </w:r>
          </w:p>
          <w:p w:rsidR="00000000" w:rsidRPr="002F4020" w:rsidP="002F4020">
            <w:pPr>
              <w:pStyle w:val="BodyText"/>
            </w:pPr>
            <w:r w:rsidRPr="002F4020">
              <w:t>Slewing mobile crane means a mobile crane incorporating a boom or jib that can be slewed, but does not include:</w:t>
            </w:r>
          </w:p>
          <w:p w:rsidR="00000000" w:rsidRPr="002F4020" w:rsidP="002F4020">
            <w:pPr>
              <w:pStyle w:val="ListBullet"/>
            </w:pPr>
            <w:r w:rsidRPr="002F4020">
              <w:t>a front-end loader, or</w:t>
            </w:r>
          </w:p>
          <w:p w:rsidR="00000000" w:rsidRPr="002F4020" w:rsidP="002F4020">
            <w:pPr>
              <w:pStyle w:val="ListBullet"/>
            </w:pPr>
            <w:r w:rsidRPr="002F4020">
              <w:t>a backhoe, or</w:t>
            </w:r>
          </w:p>
          <w:p w:rsidR="00000000" w:rsidRPr="002F4020" w:rsidP="002F4020">
            <w:pPr>
              <w:pStyle w:val="ListBullet"/>
            </w:pPr>
            <w:r w:rsidRPr="002F4020">
              <w:t>an excavator, or</w:t>
            </w:r>
          </w:p>
          <w:p w:rsidR="00000000" w:rsidRPr="002F4020" w:rsidP="002F4020">
            <w:pPr>
              <w:pStyle w:val="ListBullet"/>
            </w:pPr>
            <w:r w:rsidRPr="002F4020">
              <w:t>other earth m</w:t>
            </w:r>
            <w:r w:rsidRPr="002F4020">
              <w:t>oving equipment, when configured for crane operation.</w:t>
            </w:r>
          </w:p>
          <w:p w:rsidR="00000000" w:rsidRPr="002F4020" w:rsidP="002F4020">
            <w:pPr>
              <w:pStyle w:val="BodyText"/>
            </w:pPr>
            <w:r w:rsidRPr="002F4020">
              <w:t>A person performing this work is required to hold a slewing mobile crane with an MRC up to 100 tonnes HRWL.</w:t>
            </w:r>
          </w:p>
          <w:p w:rsidR="00000000" w:rsidRPr="002F4020" w:rsidP="002F4020">
            <w:pPr>
              <w:pStyle w:val="BodyText"/>
            </w:pPr>
            <w:r w:rsidRPr="002F4020">
              <w:t>This unit requires a person operating a slewing mobile crane with an MRC up to 100 tonnes to:</w:t>
            </w:r>
          </w:p>
          <w:p w:rsidR="00000000" w:rsidRPr="002F4020" w:rsidP="002F4020">
            <w:pPr>
              <w:pStyle w:val="ListBullet"/>
            </w:pPr>
            <w:r w:rsidRPr="002F4020">
              <w:t>plan for the work/task</w:t>
            </w:r>
          </w:p>
          <w:p w:rsidR="00000000" w:rsidRPr="002F4020" w:rsidP="002F4020">
            <w:pPr>
              <w:pStyle w:val="ListBullet"/>
            </w:pPr>
            <w:r w:rsidRPr="002F4020">
              <w:t>prepare for the work/task</w:t>
            </w:r>
          </w:p>
          <w:p w:rsidR="00000000" w:rsidRPr="002F4020" w:rsidP="002F4020">
            <w:pPr>
              <w:pStyle w:val="ListBullet"/>
            </w:pPr>
            <w:r w:rsidRPr="002F4020">
              <w:t xml:space="preserve">perform work/task </w:t>
            </w:r>
          </w:p>
          <w:p w:rsidR="00000000" w:rsidRPr="002F4020" w:rsidP="002F4020">
            <w:pPr>
              <w:pStyle w:val="ListBullet"/>
            </w:pPr>
            <w:r w:rsidRPr="002F4020">
              <w:t>pack up.</w:t>
            </w:r>
          </w:p>
          <w:p w:rsidR="00000000" w:rsidRPr="002F4020" w:rsidP="002F4020">
            <w:pPr>
              <w:pStyle w:val="BodyText"/>
            </w:pPr>
            <w:r w:rsidRPr="002F4020">
              <w:rPr>
                <w:rStyle w:val="SpecialBold"/>
              </w:rPr>
              <w:t>Licensing/Regulatory Information</w:t>
            </w:r>
          </w:p>
          <w:p w:rsidR="00000000" w:rsidRPr="002F4020" w:rsidP="002F4020">
            <w:pPr>
              <w:pStyle w:val="BodyText"/>
            </w:pPr>
            <w:r w:rsidRPr="002F4020">
              <w:t xml:space="preserve">Legislative and regulatory requirements are applicable to this unit of competency. </w:t>
            </w:r>
          </w:p>
          <w:p w:rsidR="00000000" w:rsidRPr="002F4020" w:rsidP="002F4020">
            <w:pPr>
              <w:pStyle w:val="BodyText"/>
            </w:pPr>
            <w:r w:rsidRPr="002F4020">
              <w:t xml:space="preserve">This unit is based on the licensing requirements of Part 4.5 </w:t>
            </w:r>
            <w:r w:rsidRPr="002F4020">
              <w:t xml:space="preserve">of the Model Work Health and Safety (WHS) regulations and meets Commonwealth, state and territory HRWL requirements. </w:t>
            </w:r>
          </w:p>
          <w:p w:rsidR="00000000" w:rsidRPr="002F4020" w:rsidP="002F4020">
            <w:pPr>
              <w:pStyle w:val="BodyText"/>
            </w:pPr>
            <w:r w:rsidRPr="002F4020">
              <w:t>The National Assessment Instrument (NAI) is the mandated assessment for the HRWL to operate the relevant licensing class as detailed in th</w:t>
            </w:r>
            <w:r w:rsidRPr="002F4020">
              <w:t xml:space="preserve">is unit.  </w:t>
            </w:r>
          </w:p>
        </w:tc>
      </w:tr>
    </w:tbl>
    <w:p w:rsidR="008D325B" w:rsidP="002F4020">
      <w:pPr>
        <w:pStyle w:val="NoPaddingFontSize1"/>
      </w:pPr>
    </w:p>
    <w:p w:rsidR="008D325B" w:rsidP="002F4020">
      <w:pPr>
        <w:pStyle w:val="NoPaddingFontSize1"/>
      </w:pPr>
    </w:p>
    <w:p w:rsidR="00000000" w:rsidRPr="002F4020" w:rsidP="002F4020">
      <w:pPr>
        <w:pStyle w:val="Heading1"/>
      </w:pPr>
      <w:bookmarkStart w:id="3" w:name="O_1205333"/>
      <w:bookmarkEnd w:id="3"/>
      <w:r w:rsidRPr="002F4020">
        <w:t>Pre-requisite Unit</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Not applicable.</w:t>
            </w:r>
          </w:p>
        </w:tc>
      </w:tr>
    </w:tbl>
    <w:p w:rsidR="008D325B" w:rsidP="002F4020">
      <w:pPr>
        <w:pStyle w:val="NoPaddingFontSize1"/>
      </w:pPr>
    </w:p>
    <w:p w:rsidR="008D325B" w:rsidP="002F4020">
      <w:pPr>
        <w:pStyle w:val="NoPaddingFontSize1"/>
      </w:pPr>
    </w:p>
    <w:p w:rsidR="00000000" w:rsidRPr="002F4020" w:rsidP="002F4020">
      <w:pPr>
        <w:pStyle w:val="Heading1"/>
      </w:pPr>
      <w:bookmarkStart w:id="4" w:name="O_1205334"/>
      <w:bookmarkEnd w:id="4"/>
      <w:r w:rsidRPr="002F4020">
        <w:t>Competency Field</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LIC - Licencing Units.</w:t>
            </w:r>
          </w:p>
        </w:tc>
      </w:tr>
    </w:tbl>
    <w:p w:rsidR="008D325B" w:rsidP="002F4020">
      <w:pPr>
        <w:pStyle w:val="NoPaddingFontSize1"/>
      </w:pPr>
    </w:p>
    <w:p w:rsidR="008D325B" w:rsidP="002F4020">
      <w:pPr>
        <w:pStyle w:val="NoPaddingFontSize1"/>
      </w:pPr>
    </w:p>
    <w:p w:rsidR="00000000" w:rsidRPr="002F4020" w:rsidP="002F4020">
      <w:pPr>
        <w:pStyle w:val="Heading1"/>
      </w:pPr>
      <w:bookmarkStart w:id="5" w:name="O_1205335"/>
      <w:bookmarkEnd w:id="5"/>
      <w:r w:rsidRPr="002F4020">
        <w:t>Unit Sector</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Not applicable.</w:t>
            </w:r>
          </w:p>
        </w:tc>
      </w:tr>
    </w:tbl>
    <w:p w:rsidR="008D325B" w:rsidP="002F4020">
      <w:pPr>
        <w:pStyle w:val="NoPaddingFontSize1"/>
      </w:pPr>
    </w:p>
    <w:p w:rsidR="008D325B" w:rsidP="002F4020">
      <w:pPr>
        <w:pStyle w:val="NoPaddingFontSize1"/>
      </w:pPr>
    </w:p>
    <w:p w:rsidR="00000000" w:rsidRPr="002F4020" w:rsidP="002F4020">
      <w:pPr>
        <w:pStyle w:val="Heading1"/>
      </w:pPr>
      <w:bookmarkStart w:id="6" w:name="O_1205336"/>
      <w:bookmarkEnd w:id="6"/>
      <w:r w:rsidRPr="002F4020">
        <w:t>Elements and Performance Criteria</w:t>
      </w:r>
    </w:p>
    <w:tbl>
      <w:tblPr>
        <w:tblW w:w="9497" w:type="dxa"/>
        <w:tblLayout w:type="fixed"/>
        <w:tblCellMar>
          <w:left w:w="62" w:type="dxa"/>
          <w:right w:w="62" w:type="dxa"/>
        </w:tblCellMar>
        <w:tblLook w:val="0000"/>
      </w:tblPr>
      <w:tblGrid>
        <w:gridCol w:w="405"/>
        <w:gridCol w:w="2743"/>
        <w:gridCol w:w="721"/>
        <w:gridCol w:w="5628"/>
      </w:tblGrid>
      <w:tr w:rsidTr="002F4020">
        <w:tblPrEx>
          <w:tblW w:w="9497" w:type="dxa"/>
          <w:tblLayout w:type="fixed"/>
          <w:tblCellMar>
            <w:left w:w="62" w:type="dxa"/>
            <w:right w:w="62" w:type="dxa"/>
          </w:tblCellMar>
          <w:tblLook w:val="0000"/>
        </w:tblPrEx>
        <w:tc>
          <w:tcPr>
            <w:tcW w:w="3148" w:type="dxa"/>
            <w:gridSpan w:val="2"/>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PERFORMANCE CRITERIA</w:t>
            </w:r>
          </w:p>
        </w:tc>
      </w:tr>
      <w:tr w:rsidTr="002F4020">
        <w:tblPrEx>
          <w:tblW w:w="9497" w:type="dxa"/>
          <w:tblLayout w:type="fixed"/>
          <w:tblCellMar>
            <w:left w:w="62" w:type="dxa"/>
            <w:right w:w="62" w:type="dxa"/>
          </w:tblCellMar>
          <w:tblLook w:val="0000"/>
        </w:tblPrEx>
        <w:trPr>
          <w:trHeight w:val="542"/>
        </w:trPr>
        <w:tc>
          <w:tcPr>
            <w:tcW w:w="3148" w:type="dxa"/>
            <w:gridSpan w:val="2"/>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Performance criteria describe the performance needed to demonstrate achievement of the element.</w:t>
            </w:r>
          </w:p>
        </w:tc>
      </w:tr>
      <w:tr w:rsidTr="002F4020">
        <w:tblPrEx>
          <w:tblW w:w="9497" w:type="dxa"/>
          <w:tblLayout w:type="fixed"/>
          <w:tblCellMar>
            <w:left w:w="62" w:type="dxa"/>
            <w:right w:w="62" w:type="dxa"/>
          </w:tblCellMar>
          <w:tblLook w:val="0000"/>
        </w:tblPrEx>
        <w:trPr>
          <w:trHeight w:val="1024"/>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Task requirements are identified from work orde</w:t>
            </w:r>
            <w:r w:rsidRPr="002F4020">
              <w:t>rs or equivalent, a lift plan is confirmed with associated personnel and a site inspection is conducted in accordance with workplace procedures</w:t>
            </w:r>
          </w:p>
        </w:tc>
      </w:tr>
      <w:tr w:rsidTr="002F4020">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Work area operating surface is confirmed to determine the quality of ground suitability for operational use of mobile crane in accordance with workplace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Mobile crane Rated Capacity (RC) and the lifting gear Working Load Limit (WLL) are </w:t>
            </w:r>
            <w:r w:rsidRPr="002F4020">
              <w:t xml:space="preserve">established for the load/s and work/task requirements in accordance with manufacturer requirements and workplace procedures </w:t>
            </w:r>
          </w:p>
        </w:tc>
      </w:tr>
      <w:tr w:rsidTr="002F4020">
        <w:tblPrEx>
          <w:tblW w:w="9497" w:type="dxa"/>
          <w:tblLayout w:type="fixed"/>
          <w:tblCellMar>
            <w:left w:w="62" w:type="dxa"/>
            <w:right w:w="62" w:type="dxa"/>
          </w:tblCellMar>
          <w:tblLook w:val="0000"/>
        </w:tblPrEx>
        <w:trPr>
          <w:trHeight w:val="4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Appropriate paths for operating the mobile crane and moving and placing load/s in work area are assessed and determined in accordance with workplace procedures </w:t>
            </w:r>
          </w:p>
        </w:tc>
      </w:tr>
      <w:tr w:rsidTr="002F4020">
        <w:tblPrEx>
          <w:tblW w:w="9497" w:type="dxa"/>
          <w:tblLayout w:type="fixed"/>
          <w:tblCellMar>
            <w:left w:w="62" w:type="dxa"/>
            <w:right w:w="62" w:type="dxa"/>
          </w:tblCellMar>
          <w:tblLook w:val="0000"/>
        </w:tblPrEx>
        <w:trPr>
          <w:trHeight w:val="5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Relevant hazard identification and risk elimination/control measures are applied and adv</w:t>
            </w:r>
            <w:r w:rsidRPr="002F4020">
              <w:t xml:space="preserve">ised to associated personnel in accordance with workplace procedures </w:t>
            </w:r>
          </w:p>
        </w:tc>
      </w:tr>
      <w:tr w:rsidTr="002F4020">
        <w:tblPrEx>
          <w:tblW w:w="9497" w:type="dxa"/>
          <w:tblLayout w:type="fixed"/>
          <w:tblCellMar>
            <w:left w:w="62" w:type="dxa"/>
            <w:right w:w="62" w:type="dxa"/>
          </w:tblCellMar>
          <w:tblLook w:val="0000"/>
        </w:tblPrEx>
        <w:trPr>
          <w:trHeight w:val="27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Traffic management plan implementation is confirmed and followed in accordance with workplace procedures </w:t>
            </w:r>
          </w:p>
        </w:tc>
      </w:tr>
      <w:tr w:rsidTr="002F4020">
        <w:tblPrEx>
          <w:tblW w:w="9497" w:type="dxa"/>
          <w:tblLayout w:type="fixed"/>
          <w:tblCellMar>
            <w:left w:w="62" w:type="dxa"/>
            <w:right w:w="62" w:type="dxa"/>
          </w:tblCellMar>
          <w:tblLook w:val="0000"/>
        </w:tblPrEx>
        <w:trPr>
          <w:trHeight w:val="5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Appropriate communication procedures are identified and tested with associated personnel in accordance with workplace procedures</w:t>
            </w:r>
          </w:p>
        </w:tc>
      </w:tr>
      <w:tr w:rsidTr="002F4020">
        <w:tblPrEx>
          <w:tblW w:w="9497" w:type="dxa"/>
          <w:tblLayout w:type="fixed"/>
          <w:tblCellMar>
            <w:left w:w="62" w:type="dxa"/>
            <w:right w:w="62" w:type="dxa"/>
          </w:tblCellMar>
          <w:tblLook w:val="0000"/>
        </w:tblPrEx>
        <w:trPr>
          <w:trHeight w:val="5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All tasks are confirmed to ensure requirements for the relevant work area in accordance with a lift plan and </w:t>
            </w:r>
            <w:r w:rsidRPr="002F4020">
              <w:t>workplace procedures</w:t>
            </w:r>
          </w:p>
        </w:tc>
      </w:tr>
      <w:tr w:rsidTr="002F4020">
        <w:tblPrEx>
          <w:tblW w:w="9497" w:type="dxa"/>
          <w:tblLayout w:type="fixed"/>
          <w:tblCellMar>
            <w:left w:w="62" w:type="dxa"/>
            <w:right w:w="62" w:type="dxa"/>
          </w:tblCellMar>
          <w:tblLook w:val="0000"/>
        </w:tblPrEx>
        <w:trPr>
          <w:trHeight w:val="5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Information required to ensure that lifting equipment and gear inspection, use, maintenance and storage complies with m</w:t>
            </w:r>
            <w:r w:rsidRPr="002F4020">
              <w:t>anufacturer requirements is obtained and interpreted</w:t>
            </w:r>
          </w:p>
        </w:tc>
      </w:tr>
      <w:tr w:rsidTr="002F4020">
        <w:tblPrEx>
          <w:tblW w:w="9497" w:type="dxa"/>
          <w:tblLayout w:type="fixed"/>
          <w:tblCellMar>
            <w:left w:w="62" w:type="dxa"/>
            <w:right w:w="62" w:type="dxa"/>
          </w:tblCellMar>
          <w:tblLook w:val="0000"/>
        </w:tblPrEx>
        <w:trPr>
          <w:trHeight w:val="774"/>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Consultation with workplace personnel is established and maintained to ensure lift plan is clear and consistent with site requirements in accordance with a lift plan and work</w:t>
            </w:r>
            <w:r w:rsidRPr="002F4020">
              <w:t>place procedures</w:t>
            </w:r>
          </w:p>
        </w:tc>
      </w:tr>
      <w:tr w:rsidTr="002F4020">
        <w:tblPrEx>
          <w:tblW w:w="9497" w:type="dxa"/>
          <w:tblLayout w:type="fixed"/>
          <w:tblCellMar>
            <w:left w:w="62" w:type="dxa"/>
            <w:right w:w="62" w:type="dxa"/>
          </w:tblCellMar>
          <w:tblLook w:val="0000"/>
        </w:tblPrEx>
        <w:trPr>
          <w:trHeight w:val="7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Risk control measures for hazards identified are checked for implementation in accordance with the lift plan and safe work procedures</w:t>
            </w:r>
          </w:p>
        </w:tc>
      </w:tr>
      <w:tr w:rsidTr="002F4020">
        <w:tblPrEx>
          <w:tblW w:w="9497" w:type="dxa"/>
          <w:tblLayout w:type="fixed"/>
          <w:tblCellMar>
            <w:left w:w="62" w:type="dxa"/>
            <w:right w:w="62" w:type="dxa"/>
          </w:tblCellMar>
          <w:tblLook w:val="0000"/>
        </w:tblPrEx>
        <w:trPr>
          <w:trHeight w:val="3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Mobile crane is accessed safely in accordance with manufacturer requirements and safe work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Pre-start mobile crane checks are carried out and any damage and defects are reported, recorded and appropriate action is taken in accordance with </w:t>
            </w:r>
            <w:r w:rsidRPr="002F4020">
              <w:t>manufacturer requirements and safe work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Mobile crane is set up correctly with any lifting gear and stabilised as per the lift plan in accordance with relevant manufacturer requirements, including load chart/s and safe work procedures</w:t>
            </w:r>
          </w:p>
        </w:tc>
      </w:tr>
      <w:tr w:rsidTr="002F4020">
        <w:tblPrEx>
          <w:tblW w:w="9497" w:type="dxa"/>
          <w:tblLayout w:type="fixed"/>
          <w:tblCellMar>
            <w:left w:w="62" w:type="dxa"/>
            <w:right w:w="62" w:type="dxa"/>
          </w:tblCellMar>
          <w:tblLook w:val="0000"/>
        </w:tblPrEx>
        <w:trPr>
          <w:trHeight w:val="5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Counterweight/s are set up as required in accordance with the lift plan, relevant manufacturer requirements and safe work procedures</w:t>
            </w:r>
          </w:p>
        </w:tc>
      </w:tr>
      <w:tr w:rsidTr="002F4020">
        <w:tblPrEx>
          <w:tblW w:w="9497" w:type="dxa"/>
          <w:tblLayout w:type="fixed"/>
          <w:tblCellMar>
            <w:left w:w="62" w:type="dxa"/>
            <w:right w:w="62" w:type="dxa"/>
          </w:tblCellMar>
          <w:tblLook w:val="0000"/>
        </w:tblPrEx>
        <w:trPr>
          <w:trHeight w:val="4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Fly jib and/or luffing fly are set up as required in accordance with specific manufacturer requirements and safe</w:t>
            </w:r>
            <w:r w:rsidRPr="002F4020">
              <w:t xml:space="preserve"> work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Operational checks are carried out and any damage and defects are reported, recorded and appropriate action is taken in accordance with manufacturer requirements and safe work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Crane logbook is checked to confirm current compliance, is correct for the crane type, is completed and signed and required rectifications have been signed off in accordance with manufacturer requirements and safe work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Weather and work</w:t>
            </w:r>
            <w:r w:rsidRPr="002F4020">
              <w:t xml:space="preserve"> environment conditions are assessed to determine any impact on mobile crane operations in accordance with manufacturer requirements and safe work procedures</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2.11</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Weight of the load is confirmed</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2.12</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Derated Working Load Limit (WLL) of lifting equipment resulting from selected slinging techniques is calculated and confirmed as suitable to meet the requirements of the lift plan</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2.13</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Suitable lifting points and slinging techniques are identified</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w:t>
            </w:r>
            <w:r w:rsidRPr="002F402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Lifting equipment and gear are confirmed as ready for safe use</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2.15</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Load destination stability is confirmed ensuring it is able to bear the load and is prepared for safe access and landing</w:t>
            </w:r>
          </w:p>
        </w:tc>
      </w:tr>
      <w:tr w:rsidTr="002F4020">
        <w:tblPrEx>
          <w:tblW w:w="9497" w:type="dxa"/>
          <w:tblLayout w:type="fixed"/>
          <w:tblCellMar>
            <w:left w:w="62" w:type="dxa"/>
            <w:right w:w="62" w:type="dxa"/>
          </w:tblCellMar>
          <w:tblLook w:val="0000"/>
        </w:tblPrEx>
        <w:trPr>
          <w:trHeight w:val="435"/>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xml:space="preserve">Perform work/task </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Lifts are determined within the RC of the mobile crane in accordance with the load chart/s and lift plan</w:t>
            </w:r>
          </w:p>
        </w:tc>
      </w:tr>
      <w:tr w:rsidTr="002F4020">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Boom/jib and hook block are safely positioned over the load following directions from associated personnel in accordance with the lift plan and </w:t>
            </w:r>
            <w:r w:rsidRPr="002F4020">
              <w:t xml:space="preserve">safe work procedures </w:t>
            </w:r>
          </w:p>
        </w:tc>
      </w:tr>
      <w:tr w:rsidTr="002F4020">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Main and/or auxiliary hook, including any lifting gear where required, are connected to the load and used safely in accordance with the lift plan, safe work procedures and manufacturer requirements</w:t>
            </w:r>
          </w:p>
        </w:tc>
      </w:tr>
      <w:tr w:rsidTr="002F4020">
        <w:tblPrEx>
          <w:tblW w:w="9497" w:type="dxa"/>
          <w:tblLayout w:type="fixed"/>
          <w:tblCellMar>
            <w:left w:w="62" w:type="dxa"/>
            <w:right w:w="62" w:type="dxa"/>
          </w:tblCellMar>
          <w:tblLook w:val="0000"/>
        </w:tblPrEx>
        <w:trPr>
          <w:trHeight w:val="75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Test lift is carried out in accordance with dogging and safe work procedures</w:t>
            </w:r>
          </w:p>
        </w:tc>
      </w:tr>
      <w:tr w:rsidTr="002F4020">
        <w:tblPrEx>
          <w:tblW w:w="9497" w:type="dxa"/>
          <w:tblLayout w:type="fixed"/>
          <w:tblCellMar>
            <w:left w:w="62" w:type="dxa"/>
            <w:right w:w="62" w:type="dxa"/>
          </w:tblCellMar>
          <w:tblLook w:val="0000"/>
        </w:tblPrEx>
        <w:trPr>
          <w:trHeight w:val="2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Loads are transferred using relevant crane movements and tag lines, as required, in accordance with lift plan and safe work procedures</w:t>
            </w:r>
          </w:p>
        </w:tc>
      </w:tr>
      <w:tr w:rsidTr="002F4020">
        <w:tblPrEx>
          <w:tblW w:w="9497" w:type="dxa"/>
          <w:tblLayout w:type="fixed"/>
          <w:tblCellMar>
            <w:left w:w="62" w:type="dxa"/>
            <w:right w:w="62" w:type="dxa"/>
          </w:tblCellMar>
          <w:tblLook w:val="0000"/>
        </w:tblPrEx>
        <w:trPr>
          <w:trHeight w:val="3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Load and crane movement is monitored constantly and crane is operated safely in accordance with lift plan and safe work procedures</w:t>
            </w:r>
          </w:p>
        </w:tc>
      </w:tr>
      <w:tr w:rsidTr="002F4020">
        <w:tblPrEx>
          <w:tblW w:w="9497" w:type="dxa"/>
          <w:tblLayout w:type="fixed"/>
          <w:tblCellMar>
            <w:left w:w="62" w:type="dxa"/>
            <w:right w:w="62" w:type="dxa"/>
          </w:tblCellMar>
          <w:tblLook w:val="0000"/>
        </w:tblPrEx>
        <w:trPr>
          <w:trHeight w:val="7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All required communication </w:t>
            </w:r>
            <w:r w:rsidRPr="002F4020">
              <w:t xml:space="preserve">signals are correctly interpreted and followed whilst crane is operated in accordance with the lift plan and safe work procedures </w:t>
            </w:r>
          </w:p>
        </w:tc>
      </w:tr>
      <w:tr w:rsidTr="002F4020">
        <w:tblPrEx>
          <w:tblW w:w="9497" w:type="dxa"/>
          <w:tblLayout w:type="fixed"/>
          <w:tblCellMar>
            <w:left w:w="62" w:type="dxa"/>
            <w:right w:w="62" w:type="dxa"/>
          </w:tblCellMar>
          <w:tblLook w:val="0000"/>
        </w:tblPrEx>
        <w:trPr>
          <w:trHeight w:val="38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Load is lowered and landed safely in accordance with lift plan and safe work procedures</w:t>
            </w:r>
          </w:p>
        </w:tc>
      </w:tr>
      <w:tr w:rsidTr="002F4020">
        <w:tblPrEx>
          <w:tblW w:w="9497" w:type="dxa"/>
          <w:tblLayout w:type="fixed"/>
          <w:tblCellMar>
            <w:left w:w="62" w:type="dxa"/>
            <w:right w:w="62" w:type="dxa"/>
          </w:tblCellMar>
          <w:tblLook w:val="0000"/>
        </w:tblPrEx>
        <w:trPr>
          <w:trHeight w:val="720"/>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 xml:space="preserve">Lifting gear is disconnected from load and crane is positioned safely and efficiently for next task in accordance with lift plan and safe work procedures </w:t>
            </w:r>
          </w:p>
        </w:tc>
      </w:tr>
      <w:tr w:rsidTr="002F4020">
        <w:tblPrEx>
          <w:tblW w:w="9497" w:type="dxa"/>
          <w:tblLayout w:type="fixed"/>
          <w:tblCellMar>
            <w:left w:w="62" w:type="dxa"/>
            <w:right w:w="62" w:type="dxa"/>
          </w:tblCellMar>
          <w:tblLook w:val="0000"/>
        </w:tblPrEx>
        <w:trPr>
          <w:trHeight w:val="7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Lifting equipment and gear are inspected for defects, and defective items are isolated, label</w:t>
            </w:r>
            <w:r w:rsidRPr="002F4020">
              <w:t>led and reported</w:t>
            </w:r>
          </w:p>
        </w:tc>
      </w:tr>
      <w:tr w:rsidTr="002F4020">
        <w:tblPrEx>
          <w:tblW w:w="9497" w:type="dxa"/>
          <w:tblLayout w:type="fixed"/>
          <w:tblCellMar>
            <w:left w:w="62" w:type="dxa"/>
            <w:right w:w="62" w:type="dxa"/>
          </w:tblCellMar>
          <w:tblLook w:val="0000"/>
        </w:tblPrEx>
        <w:trPr>
          <w:trHeight w:val="495"/>
        </w:trPr>
        <w:tc>
          <w:tcPr>
            <w:tcW w:w="405"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rPr>
                <w:rStyle w:val="SpecialBold"/>
              </w:rPr>
              <w:t xml:space="preserve">Pack up </w:t>
            </w: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Crane boom/jib, lifting gear and associated equipment are stowed and secured as required in accordance with manufacturer requirements and safe work procedures</w:t>
            </w:r>
          </w:p>
        </w:tc>
      </w:tr>
      <w:tr w:rsidTr="002F4020">
        <w:tblPrEx>
          <w:tblW w:w="9497" w:type="dxa"/>
          <w:tblLayout w:type="fixed"/>
          <w:tblCellMar>
            <w:left w:w="62" w:type="dxa"/>
            <w:right w:w="62" w:type="dxa"/>
          </w:tblCellMar>
          <w:tblLook w:val="0000"/>
        </w:tblPrEx>
        <w:trPr>
          <w:trHeight w:val="6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Crane fly jib and counterweight are removed to storage position and secured as required in accordance with manufacturer requirements and safe work procedures</w:t>
            </w:r>
          </w:p>
        </w:tc>
      </w:tr>
      <w:tr w:rsidTr="002F4020">
        <w:tblPrEx>
          <w:tblW w:w="9497" w:type="dxa"/>
          <w:tblLayout w:type="fixed"/>
          <w:tblCellMar>
            <w:left w:w="62" w:type="dxa"/>
            <w:right w:w="62" w:type="dxa"/>
          </w:tblCellMar>
          <w:tblLook w:val="0000"/>
        </w:tblPrEx>
        <w:trPr>
          <w:trHeight w:val="5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Relevant motion locks and brakes are applied as required in accordance with manufacturer re</w:t>
            </w:r>
            <w:r w:rsidRPr="002F4020">
              <w:t>quirements and safe work procedures</w:t>
            </w:r>
          </w:p>
        </w:tc>
      </w:tr>
      <w:tr w:rsidTr="002F4020">
        <w:tblPrEx>
          <w:tblW w:w="9497" w:type="dxa"/>
          <w:tblLayout w:type="fixed"/>
          <w:tblCellMar>
            <w:left w:w="62" w:type="dxa"/>
            <w:right w:w="62" w:type="dxa"/>
          </w:tblCellMar>
          <w:tblLook w:val="0000"/>
        </w:tblPrEx>
        <w:trPr>
          <w:trHeight w:val="5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Outriggers are stowed and secured in accordance with manufacturer requirements and safe work procedures</w:t>
            </w:r>
          </w:p>
        </w:tc>
      </w:tr>
      <w:tr w:rsidTr="002F4020">
        <w:tblPrEx>
          <w:tblW w:w="9497" w:type="dxa"/>
          <w:tblLayout w:type="fixed"/>
          <w:tblCellMar>
            <w:left w:w="62" w:type="dxa"/>
            <w:right w:w="62" w:type="dxa"/>
          </w:tblCellMar>
          <w:tblLook w:val="0000"/>
        </w:tblPrEx>
        <w:trPr>
          <w:trHeight w:val="5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Crane is shut down and secured to prevent unauthorised access/use in accordance with safe work procedures</w:t>
            </w:r>
          </w:p>
        </w:tc>
      </w:tr>
      <w:tr w:rsidTr="002F4020">
        <w:tblPrEx>
          <w:tblW w:w="9497" w:type="dxa"/>
          <w:tblLayout w:type="fixed"/>
          <w:tblCellMar>
            <w:left w:w="62" w:type="dxa"/>
            <w:right w:w="62" w:type="dxa"/>
          </w:tblCellMar>
          <w:tblLook w:val="0000"/>
        </w:tblPrEx>
        <w:trPr>
          <w:trHeight w:val="78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t>Plates or packing are stowed and secured in accordance with safe work procedures</w:t>
            </w:r>
          </w:p>
        </w:tc>
      </w:tr>
      <w:tr w:rsidTr="002F4020">
        <w:tblPrEx>
          <w:tblW w:w="9497" w:type="dxa"/>
          <w:tblLayout w:type="fixed"/>
          <w:tblCellMar>
            <w:left w:w="62" w:type="dxa"/>
            <w:right w:w="62" w:type="dxa"/>
          </w:tblCellMar>
          <w:tblLook w:val="0000"/>
        </w:tblPrEx>
        <w:trPr>
          <w:trHeight w:val="4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F4020">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F4020">
            <w:pPr>
              <w:pStyle w:val="BodyText"/>
              <w:rPr>
                <w:lang w:val="en-NZ"/>
              </w:rPr>
            </w:pPr>
            <w:r w:rsidRPr="002F4020">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Shutdown crane checks are carried out in accordance with safe work procedures and manufacturer requirements</w:t>
            </w:r>
          </w:p>
        </w:tc>
      </w:tr>
    </w:tbl>
    <w:p w:rsidR="008D325B" w:rsidP="002F4020">
      <w:pPr>
        <w:pStyle w:val="NoPaddingFontSize1"/>
      </w:pPr>
    </w:p>
    <w:p w:rsidR="008D325B" w:rsidP="002F4020">
      <w:pPr>
        <w:pStyle w:val="NoPaddingFontSize1"/>
      </w:pPr>
    </w:p>
    <w:p w:rsidR="00000000" w:rsidRPr="002F4020" w:rsidP="002F4020">
      <w:pPr>
        <w:pStyle w:val="Heading1"/>
      </w:pPr>
      <w:bookmarkStart w:id="7" w:name="O_1205337"/>
      <w:bookmarkEnd w:id="7"/>
      <w:r w:rsidRPr="002F4020">
        <w:t>Foundation Skills</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Foundation skills essential to performance are explicit in the performance criteria of this unit of competency.</w:t>
            </w:r>
          </w:p>
        </w:tc>
      </w:tr>
    </w:tbl>
    <w:p w:rsidR="008D325B" w:rsidP="002F4020">
      <w:pPr>
        <w:pStyle w:val="NoPaddingFontSize1"/>
      </w:pPr>
    </w:p>
    <w:p w:rsidR="008D325B" w:rsidP="002F4020">
      <w:pPr>
        <w:pStyle w:val="NoPaddingFontSize1"/>
      </w:pPr>
    </w:p>
    <w:p w:rsidR="00000000" w:rsidRPr="002F4020" w:rsidP="002F4020">
      <w:pPr>
        <w:pStyle w:val="Heading1"/>
      </w:pPr>
      <w:bookmarkStart w:id="8" w:name="O_1205338"/>
      <w:bookmarkEnd w:id="8"/>
      <w:r w:rsidRPr="002F4020">
        <w:t>Range of Conditions</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Range is restricted to essential operating conditions and any other variables essential to the work en</w:t>
            </w:r>
            <w:r w:rsidRPr="002F4020">
              <w:t>vironment.</w:t>
            </w:r>
          </w:p>
          <w:p w:rsidR="00000000" w:rsidRPr="002F4020" w:rsidP="002F4020">
            <w:pPr>
              <w:pStyle w:val="BodyText"/>
            </w:pPr>
            <w:r w:rsidRPr="002F4020">
              <w:t>Non-essential conditions may be found in the TLI Transport and Logistics Training Package Companion Volume Implementation Guide.</w:t>
            </w:r>
          </w:p>
        </w:tc>
      </w:tr>
    </w:tbl>
    <w:p w:rsidR="008D325B" w:rsidP="002F4020">
      <w:pPr>
        <w:pStyle w:val="NoPaddingFontSize1"/>
      </w:pPr>
    </w:p>
    <w:p w:rsidR="008D325B" w:rsidP="002F4020">
      <w:pPr>
        <w:pStyle w:val="NoPaddingFontSize1"/>
      </w:pPr>
    </w:p>
    <w:p w:rsidR="00000000" w:rsidRPr="002F4020" w:rsidP="002F4020">
      <w:pPr>
        <w:pStyle w:val="Heading1"/>
      </w:pPr>
      <w:bookmarkStart w:id="9" w:name="O_1205339"/>
      <w:bookmarkEnd w:id="9"/>
      <w:r w:rsidRPr="002F4020">
        <w:t>Unit Mapping Information</w:t>
      </w:r>
    </w:p>
    <w:tbl>
      <w:tblPr>
        <w:tblW w:w="9497" w:type="dxa"/>
        <w:tblLayout w:type="fixed"/>
        <w:tblCellMar>
          <w:left w:w="62" w:type="dxa"/>
          <w:right w:w="62" w:type="dxa"/>
        </w:tblCellMar>
        <w:tblLook w:val="0000"/>
      </w:tblPr>
      <w:tblGrid>
        <w:gridCol w:w="9497"/>
      </w:tblGrid>
      <w:tr w:rsidTr="002F40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20" w:rsidP="002F4020">
            <w:pPr>
              <w:pStyle w:val="BodyText"/>
            </w:pPr>
            <w:r w:rsidRPr="002F4020">
              <w:t>This unit replaces and is equivalent to TLILIC0014 Licence to operate a slewing mobile crane (up to 100 tonnes).</w:t>
            </w:r>
          </w:p>
        </w:tc>
      </w:tr>
    </w:tbl>
    <w:p w:rsidR="008D325B" w:rsidP="002F4020">
      <w:pPr>
        <w:pStyle w:val="NoPaddingFontSize1"/>
      </w:pPr>
    </w:p>
    <w:p w:rsidR="008D325B" w:rsidP="002F4020">
      <w:pPr>
        <w:pStyle w:val="NoPaddingFontSize1"/>
      </w:pPr>
    </w:p>
    <w:p w:rsidR="00000000" w:rsidRPr="002F4020" w:rsidP="002F4020">
      <w:pPr>
        <w:pStyle w:val="Heading1"/>
      </w:pPr>
      <w:bookmarkStart w:id="10" w:name="O_1205346"/>
      <w:bookmarkEnd w:id="10"/>
      <w:r w:rsidRPr="002F4020">
        <w:t>Links</w:t>
      </w:r>
    </w:p>
    <w:p w:rsidR="00000000" w:rsidRPr="002F4020" w:rsidP="008D325B">
      <w:pPr>
        <w:pStyle w:val="BodyText"/>
      </w:pPr>
      <w:r w:rsidRPr="002F402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056FE">
        <w:rPr>
          <w:rStyle w:val="Hyperlink"/>
        </w:rPr>
        <w:t>https://vetnet.gov.au/Pages/TrainingDocs.aspx?q=df441c6e-213d-43e3-874c-0b3f7036d851</w:t>
      </w:r>
      <w:r>
        <w:fldChar w:fldCharType="end"/>
      </w:r>
    </w:p>
    <w:p w:rsidR="00000000" w:rsidRPr="002F4020" w:rsidP="002F4020"/>
    <w:sectPr w:rsidSect="002F40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20" w:rsidRPr="008D325B" w:rsidP="008D3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5B" w:rsidP="002F4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325B" w:rsidP="002F40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D325B" w:rsidP="002F4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020" w:rsidRPr="008D325B" w:rsidP="008D3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5B" w:rsidRPr="002D2AF8" w:rsidP="002F4020">
    <w:pPr>
      <w:pStyle w:val="Header"/>
      <w:framePr w:wrap="around"/>
    </w:pPr>
    <w:r>
      <w:fldChar w:fldCharType="begin"/>
    </w:r>
    <w:r>
      <w:instrText xml:space="preserve"> TITLE   \* MERGEFORMAT </w:instrText>
    </w:r>
    <w:r>
      <w:fldChar w:fldCharType="separate"/>
    </w:r>
    <w:r>
      <w:t>TLILIC0021 Licence to operate a slewing mobile crane (up to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D325B" w:rsidP="002F4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64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F6D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020"/>
    <w:pPr>
      <w:spacing w:before="360" w:after="60"/>
      <w:outlineLvl w:val="0"/>
    </w:pPr>
    <w:rPr>
      <w:sz w:val="32"/>
    </w:rPr>
  </w:style>
  <w:style w:type="paragraph" w:styleId="Heading2">
    <w:name w:val="heading 2"/>
    <w:basedOn w:val="HeadingBase"/>
    <w:next w:val="BodyText"/>
    <w:link w:val="Heading2Char"/>
    <w:qFormat/>
    <w:rsid w:val="002F4020"/>
    <w:pPr>
      <w:keepLines/>
      <w:spacing w:before="240" w:after="120"/>
      <w:outlineLvl w:val="1"/>
    </w:pPr>
    <w:rPr>
      <w:sz w:val="28"/>
      <w:szCs w:val="40"/>
    </w:rPr>
  </w:style>
  <w:style w:type="paragraph" w:styleId="Heading3">
    <w:name w:val="heading 3"/>
    <w:basedOn w:val="HeadingBase"/>
    <w:next w:val="BodyText"/>
    <w:link w:val="Heading3Char"/>
    <w:qFormat/>
    <w:rsid w:val="002F4020"/>
    <w:pPr>
      <w:spacing w:before="180" w:after="120"/>
      <w:outlineLvl w:val="2"/>
    </w:pPr>
    <w:rPr>
      <w:spacing w:val="-10"/>
      <w:kern w:val="32"/>
    </w:rPr>
  </w:style>
  <w:style w:type="paragraph" w:styleId="Heading4">
    <w:name w:val="heading 4"/>
    <w:basedOn w:val="HeadingBase"/>
    <w:next w:val="BodyText"/>
    <w:link w:val="Heading4Char"/>
    <w:qFormat/>
    <w:rsid w:val="002F4020"/>
    <w:pPr>
      <w:spacing w:before="160" w:after="120"/>
      <w:outlineLvl w:val="3"/>
    </w:pPr>
    <w:rPr>
      <w:sz w:val="22"/>
    </w:rPr>
  </w:style>
  <w:style w:type="paragraph" w:styleId="Heading5">
    <w:name w:val="heading 5"/>
    <w:basedOn w:val="HeadingBase"/>
    <w:next w:val="Normal"/>
    <w:link w:val="Heading5Char"/>
    <w:qFormat/>
    <w:rsid w:val="002F4020"/>
    <w:pPr>
      <w:spacing w:before="80"/>
      <w:outlineLvl w:val="4"/>
    </w:pPr>
    <w:rPr>
      <w:color w:val="918585"/>
      <w:sz w:val="20"/>
    </w:rPr>
  </w:style>
  <w:style w:type="paragraph" w:styleId="Heading6">
    <w:name w:val="heading 6"/>
    <w:basedOn w:val="HeadingBase"/>
    <w:next w:val="Normal"/>
    <w:link w:val="Heading6Char"/>
    <w:qFormat/>
    <w:rsid w:val="002F4020"/>
    <w:pPr>
      <w:spacing w:before="60"/>
      <w:outlineLvl w:val="5"/>
    </w:pPr>
    <w:rPr>
      <w:color w:val="918585"/>
      <w:sz w:val="20"/>
    </w:rPr>
  </w:style>
  <w:style w:type="paragraph" w:styleId="Heading7">
    <w:name w:val="heading 7"/>
    <w:basedOn w:val="Normal"/>
    <w:next w:val="Normal"/>
    <w:link w:val="Heading7Char"/>
    <w:qFormat/>
    <w:rsid w:val="002F4020"/>
    <w:pPr>
      <w:ind w:left="720"/>
      <w:outlineLvl w:val="6"/>
    </w:pPr>
    <w:rPr>
      <w:i/>
    </w:rPr>
  </w:style>
  <w:style w:type="paragraph" w:styleId="Heading8">
    <w:name w:val="heading 8"/>
    <w:basedOn w:val="Normal"/>
    <w:next w:val="Normal"/>
    <w:link w:val="Heading8Char"/>
    <w:qFormat/>
    <w:rsid w:val="002F4020"/>
    <w:pPr>
      <w:ind w:left="720"/>
      <w:outlineLvl w:val="7"/>
    </w:pPr>
    <w:rPr>
      <w:i/>
    </w:rPr>
  </w:style>
  <w:style w:type="paragraph" w:styleId="Heading9">
    <w:name w:val="heading 9"/>
    <w:basedOn w:val="Normal"/>
    <w:next w:val="Normal"/>
    <w:link w:val="Heading9Char"/>
    <w:qFormat/>
    <w:rsid w:val="002F4020"/>
    <w:pPr>
      <w:ind w:left="720"/>
      <w:outlineLvl w:val="8"/>
    </w:pPr>
    <w:rPr>
      <w:i/>
    </w:rPr>
  </w:style>
  <w:style w:type="character" w:default="1" w:styleId="DefaultParagraphFont">
    <w:name w:val="Default Paragraph Font"/>
    <w:uiPriority w:val="1"/>
    <w:unhideWhenUsed/>
    <w:rsid w:val="002F4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20"/>
  </w:style>
  <w:style w:type="character" w:customStyle="1" w:styleId="Heading1Char">
    <w:name w:val="Heading 1 Char"/>
    <w:basedOn w:val="DefaultParagraphFont"/>
    <w:link w:val="Heading1"/>
    <w:rsid w:val="002F4020"/>
    <w:rPr>
      <w:rFonts w:ascii="Times New Roman" w:eastAsia="Times New Roman" w:hAnsi="Times New Roman" w:cs="Times New Roman"/>
      <w:b/>
      <w:sz w:val="32"/>
      <w:szCs w:val="20"/>
      <w:lang w:eastAsia="en-US"/>
    </w:rPr>
  </w:style>
  <w:style w:type="paragraph" w:styleId="BodyText">
    <w:name w:val="Body Text"/>
    <w:basedOn w:val="Normal"/>
    <w:link w:val="BodyTextChar"/>
    <w:rsid w:val="002F4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020"/>
    <w:rPr>
      <w:rFonts w:ascii="Times New Roman" w:eastAsia="Times New Roman" w:hAnsi="Times New Roman" w:cs="Times New Roman"/>
      <w:sz w:val="24"/>
      <w:lang w:eastAsia="en-US"/>
    </w:rPr>
  </w:style>
  <w:style w:type="paragraph" w:styleId="ListBullet">
    <w:name w:val="List Bullet"/>
    <w:basedOn w:val="List"/>
    <w:rsid w:val="002F4020"/>
    <w:pPr>
      <w:numPr>
        <w:numId w:val="11"/>
      </w:numPr>
      <w:tabs>
        <w:tab w:val="clear" w:pos="340"/>
      </w:tabs>
      <w:spacing w:before="40" w:after="40"/>
    </w:pPr>
  </w:style>
  <w:style w:type="character" w:customStyle="1" w:styleId="SpecialBold">
    <w:name w:val="Special Bold"/>
    <w:basedOn w:val="DefaultParagraphFont"/>
    <w:rsid w:val="002F4020"/>
    <w:rPr>
      <w:b/>
      <w:spacing w:val="0"/>
    </w:rPr>
  </w:style>
  <w:style w:type="paragraph" w:customStyle="1" w:styleId="SuperHeading">
    <w:name w:val="SuperHeading"/>
    <w:basedOn w:val="Normal"/>
    <w:rsid w:val="002F4020"/>
    <w:pPr>
      <w:spacing w:before="240" w:after="120"/>
      <w:outlineLvl w:val="0"/>
    </w:pPr>
    <w:rPr>
      <w:rFonts w:ascii="Times New Roman" w:hAnsi="Times New Roman"/>
      <w:b/>
      <w:sz w:val="32"/>
    </w:rPr>
  </w:style>
  <w:style w:type="paragraph" w:customStyle="1" w:styleId="AllowPageBreak">
    <w:name w:val="AllowPageBreak"/>
    <w:rsid w:val="002F40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4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020"/>
    <w:rPr>
      <w:rFonts w:ascii="Courier New" w:eastAsia="Times New Roman" w:hAnsi="Courier New" w:cs="Times New Roman"/>
      <w:i/>
      <w:szCs w:val="20"/>
      <w:lang w:eastAsia="en-US"/>
    </w:rPr>
  </w:style>
  <w:style w:type="paragraph" w:customStyle="1" w:styleId="HeadingBase">
    <w:name w:val="Heading Base"/>
    <w:rsid w:val="002F4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20"/>
    <w:pPr>
      <w:tabs>
        <w:tab w:val="right" w:leader="dot" w:pos="9072"/>
      </w:tabs>
      <w:ind w:left="567"/>
    </w:pPr>
    <w:rPr>
      <w:szCs w:val="22"/>
    </w:rPr>
  </w:style>
  <w:style w:type="paragraph" w:customStyle="1" w:styleId="TOCBase">
    <w:name w:val="TOC Base"/>
    <w:rsid w:val="002F4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20"/>
    <w:pPr>
      <w:tabs>
        <w:tab w:val="right" w:leader="dot" w:pos="9072"/>
      </w:tabs>
      <w:spacing w:before="40" w:after="40"/>
      <w:ind w:left="284"/>
    </w:pPr>
    <w:rPr>
      <w:rFonts w:ascii="Times New Roman" w:hAnsi="Times New Roman"/>
    </w:rPr>
  </w:style>
  <w:style w:type="paragraph" w:styleId="TOC1">
    <w:name w:val="toc 1"/>
    <w:basedOn w:val="TOCBase"/>
    <w:next w:val="Normal"/>
    <w:rsid w:val="002F4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020"/>
    <w:rPr>
      <w:rFonts w:ascii="Times New Roman" w:eastAsia="Times New Roman" w:hAnsi="Times New Roman" w:cs="Times New Roman"/>
      <w:sz w:val="16"/>
      <w:lang w:eastAsia="en-US"/>
    </w:rPr>
  </w:style>
  <w:style w:type="paragraph" w:styleId="Title">
    <w:name w:val="Title"/>
    <w:basedOn w:val="HeadingBase"/>
    <w:link w:val="TitleChar"/>
    <w:qFormat/>
    <w:rsid w:val="002F4020"/>
    <w:pPr>
      <w:spacing w:before="5040"/>
      <w:jc w:val="center"/>
    </w:pPr>
    <w:rPr>
      <w:sz w:val="48"/>
      <w:szCs w:val="72"/>
      <w:lang w:val="en-US"/>
    </w:rPr>
  </w:style>
  <w:style w:type="character" w:customStyle="1" w:styleId="TitleChar">
    <w:name w:val="Title Char"/>
    <w:basedOn w:val="DefaultParagraphFont"/>
    <w:link w:val="Title"/>
    <w:rsid w:val="002F4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20"/>
    <w:pPr>
      <w:tabs>
        <w:tab w:val="left" w:pos="3600"/>
        <w:tab w:val="left" w:pos="3958"/>
      </w:tabs>
    </w:pPr>
  </w:style>
  <w:style w:type="paragraph" w:styleId="List">
    <w:name w:val="List"/>
    <w:basedOn w:val="BodyText"/>
    <w:next w:val="BodyText"/>
    <w:rsid w:val="002F4020"/>
    <w:pPr>
      <w:tabs>
        <w:tab w:val="left" w:pos="340"/>
      </w:tabs>
      <w:spacing w:before="60" w:after="60"/>
      <w:ind w:left="340" w:hanging="340"/>
    </w:pPr>
  </w:style>
  <w:style w:type="paragraph" w:customStyle="1" w:styleId="Note">
    <w:name w:val="Note"/>
    <w:basedOn w:val="BodyText"/>
    <w:rsid w:val="002F4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20"/>
    <w:pPr>
      <w:framePr w:wrap="auto" w:hAnchor="text" w:y="6049"/>
    </w:pPr>
    <w:rPr>
      <w:color w:val="000000"/>
      <w:sz w:val="40"/>
    </w:rPr>
  </w:style>
  <w:style w:type="paragraph" w:customStyle="1" w:styleId="TOCTitle">
    <w:name w:val="TOCTitle"/>
    <w:basedOn w:val="Heading1"/>
    <w:rsid w:val="002F4020"/>
    <w:pPr>
      <w:spacing w:after="240"/>
      <w:jc w:val="center"/>
      <w:outlineLvl w:val="9"/>
    </w:pPr>
    <w:rPr>
      <w:caps/>
    </w:rPr>
  </w:style>
  <w:style w:type="paragraph" w:customStyle="1" w:styleId="Version">
    <w:name w:val="Version"/>
    <w:rsid w:val="002F4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020"/>
    <w:pPr>
      <w:numPr>
        <w:numId w:val="12"/>
      </w:numPr>
      <w:tabs>
        <w:tab w:val="clear" w:pos="680"/>
      </w:tabs>
    </w:pPr>
  </w:style>
  <w:style w:type="paragraph" w:styleId="Index1">
    <w:name w:val="index 1"/>
    <w:basedOn w:val="Normal"/>
    <w:next w:val="Normal"/>
    <w:semiHidden/>
    <w:rsid w:val="002F4020"/>
    <w:pPr>
      <w:keepNext w:val="0"/>
      <w:tabs>
        <w:tab w:val="right" w:pos="4176"/>
      </w:tabs>
      <w:ind w:left="198" w:hanging="198"/>
    </w:pPr>
    <w:rPr>
      <w:rFonts w:ascii="Garamond" w:hAnsi="Garamond"/>
    </w:rPr>
  </w:style>
  <w:style w:type="paragraph" w:styleId="IndexHeading">
    <w:name w:val="index heading"/>
    <w:basedOn w:val="Normal"/>
    <w:next w:val="Index1"/>
    <w:semiHidden/>
    <w:rsid w:val="002F4020"/>
    <w:pPr>
      <w:spacing w:before="120" w:after="120"/>
    </w:pPr>
    <w:rPr>
      <w:rFonts w:ascii="Arial" w:hAnsi="Arial"/>
      <w:b/>
      <w:color w:val="918585"/>
      <w:sz w:val="24"/>
    </w:rPr>
  </w:style>
  <w:style w:type="paragraph" w:styleId="Header">
    <w:name w:val="header"/>
    <w:basedOn w:val="Normal"/>
    <w:link w:val="HeaderChar"/>
    <w:rsid w:val="002F4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020"/>
    <w:rPr>
      <w:rFonts w:ascii="Times New Roman" w:eastAsia="Times New Roman" w:hAnsi="Times New Roman" w:cs="Times New Roman"/>
      <w:sz w:val="16"/>
      <w:szCs w:val="20"/>
      <w:lang w:val="en-GB" w:eastAsia="en-US"/>
    </w:rPr>
  </w:style>
  <w:style w:type="paragraph" w:customStyle="1" w:styleId="Chapter">
    <w:name w:val="Chapter"/>
    <w:basedOn w:val="Normal"/>
    <w:rsid w:val="002F4020"/>
    <w:pPr>
      <w:spacing w:before="240"/>
    </w:pPr>
    <w:rPr>
      <w:rFonts w:ascii="Times New Roman" w:hAnsi="Times New Roman"/>
      <w:smallCaps/>
      <w:spacing w:val="80"/>
      <w:sz w:val="28"/>
    </w:rPr>
  </w:style>
  <w:style w:type="paragraph" w:customStyle="1" w:styleId="InChapter">
    <w:name w:val="InChapter"/>
    <w:basedOn w:val="Heading3"/>
    <w:rsid w:val="002F4020"/>
    <w:pPr>
      <w:spacing w:after="240"/>
      <w:outlineLvl w:val="9"/>
    </w:pPr>
    <w:rPr>
      <w:noProof/>
    </w:rPr>
  </w:style>
  <w:style w:type="paragraph" w:styleId="Index2">
    <w:name w:val="index 2"/>
    <w:basedOn w:val="Normal"/>
    <w:next w:val="Normal"/>
    <w:semiHidden/>
    <w:rsid w:val="002F4020"/>
    <w:pPr>
      <w:tabs>
        <w:tab w:val="right" w:pos="4176"/>
      </w:tabs>
      <w:ind w:left="568" w:hanging="284"/>
    </w:pPr>
    <w:rPr>
      <w:rFonts w:ascii="Garamond" w:hAnsi="Garamond"/>
    </w:rPr>
  </w:style>
  <w:style w:type="paragraph" w:customStyle="1" w:styleId="Byline">
    <w:name w:val="Byline"/>
    <w:rsid w:val="002F4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20"/>
    <w:pPr>
      <w:tabs>
        <w:tab w:val="clear" w:pos="3600"/>
        <w:tab w:val="clear" w:pos="3958"/>
      </w:tabs>
      <w:jc w:val="right"/>
    </w:pPr>
  </w:style>
  <w:style w:type="character" w:styleId="Emphasis">
    <w:name w:val="Emphasis"/>
    <w:basedOn w:val="DefaultParagraphFont"/>
    <w:qFormat/>
    <w:rsid w:val="002F4020"/>
    <w:rPr>
      <w:i/>
    </w:rPr>
  </w:style>
  <w:style w:type="paragraph" w:styleId="Caption">
    <w:name w:val="caption"/>
    <w:basedOn w:val="BodyText"/>
    <w:next w:val="Normal"/>
    <w:qFormat/>
    <w:rsid w:val="002F4020"/>
    <w:pPr>
      <w:framePr w:w="2268" w:hSpace="181" w:vSpace="181" w:wrap="around" w:vAnchor="text" w:hAnchor="page" w:x="1135" w:y="285" w:anchorLock="1"/>
    </w:pPr>
    <w:rPr>
      <w:i/>
    </w:rPr>
  </w:style>
  <w:style w:type="paragraph" w:customStyle="1" w:styleId="MiniTOCTitle">
    <w:name w:val="MiniTOCTitle"/>
    <w:basedOn w:val="Heading4"/>
    <w:rsid w:val="002F4020"/>
    <w:pPr>
      <w:spacing w:before="240"/>
      <w:outlineLvl w:val="9"/>
    </w:pPr>
    <w:rPr>
      <w:noProof/>
      <w:sz w:val="24"/>
    </w:rPr>
  </w:style>
  <w:style w:type="paragraph" w:customStyle="1" w:styleId="MiniTOCItem">
    <w:name w:val="MiniTOCItem"/>
    <w:basedOn w:val="ListBullet"/>
    <w:rsid w:val="002F4020"/>
    <w:pPr>
      <w:numPr>
        <w:numId w:val="0"/>
      </w:numPr>
      <w:tabs>
        <w:tab w:val="right" w:leader="dot" w:pos="6521"/>
      </w:tabs>
      <w:spacing w:before="0" w:after="0"/>
    </w:pPr>
  </w:style>
  <w:style w:type="paragraph" w:customStyle="1" w:styleId="TOFTitle">
    <w:name w:val="TOFTitle"/>
    <w:basedOn w:val="TOCTitle"/>
    <w:rsid w:val="002F4020"/>
  </w:style>
  <w:style w:type="paragraph" w:styleId="TableofFigures">
    <w:name w:val="table of figures"/>
    <w:basedOn w:val="Normal"/>
    <w:next w:val="Normal"/>
    <w:semiHidden/>
    <w:rsid w:val="002F4020"/>
    <w:pPr>
      <w:tabs>
        <w:tab w:val="right" w:leader="dot" w:pos="9072"/>
      </w:tabs>
      <w:ind w:left="970" w:hanging="403"/>
    </w:pPr>
    <w:rPr>
      <w:rFonts w:ascii="Times New Roman" w:hAnsi="Times New Roman"/>
      <w:b/>
    </w:rPr>
  </w:style>
  <w:style w:type="paragraph" w:styleId="ListNumber">
    <w:name w:val="List Number"/>
    <w:basedOn w:val="List"/>
    <w:rsid w:val="002F4020"/>
    <w:pPr>
      <w:numPr>
        <w:numId w:val="14"/>
      </w:numPr>
      <w:tabs>
        <w:tab w:val="clear" w:pos="340"/>
      </w:tabs>
    </w:pPr>
  </w:style>
  <w:style w:type="character" w:customStyle="1" w:styleId="WingdingSymbols">
    <w:name w:val="Wingding Symbols"/>
    <w:rsid w:val="002F4020"/>
    <w:rPr>
      <w:rFonts w:ascii="Wingdings" w:hAnsi="Wingdings"/>
    </w:rPr>
  </w:style>
  <w:style w:type="paragraph" w:customStyle="1" w:styleId="TableHeading">
    <w:name w:val="Table Heading"/>
    <w:basedOn w:val="HeadingBase"/>
    <w:rsid w:val="002F4020"/>
    <w:pPr>
      <w:keepLines/>
      <w:pBdr>
        <w:bottom w:val="single" w:sz="6" w:space="1" w:color="918585"/>
      </w:pBdr>
      <w:spacing w:before="240"/>
    </w:pPr>
  </w:style>
  <w:style w:type="character" w:customStyle="1" w:styleId="HotSpot">
    <w:name w:val="HotSpot"/>
    <w:rsid w:val="002F4020"/>
    <w:rPr>
      <w:color w:val="0033CC"/>
      <w:u w:val="none"/>
    </w:rPr>
  </w:style>
  <w:style w:type="paragraph" w:customStyle="1" w:styleId="BodyTextRight">
    <w:name w:val="Body Text Right"/>
    <w:basedOn w:val="BodyText"/>
    <w:rsid w:val="002F4020"/>
    <w:pPr>
      <w:spacing w:before="0" w:after="0"/>
      <w:jc w:val="right"/>
    </w:pPr>
  </w:style>
  <w:style w:type="paragraph" w:styleId="Index3">
    <w:name w:val="index 3"/>
    <w:basedOn w:val="ListNumber2"/>
    <w:next w:val="Normal"/>
    <w:semiHidden/>
    <w:rsid w:val="002F4020"/>
    <w:pPr>
      <w:numPr>
        <w:numId w:val="0"/>
      </w:numPr>
      <w:tabs>
        <w:tab w:val="right" w:leader="dot" w:pos="4176"/>
      </w:tabs>
    </w:pPr>
  </w:style>
  <w:style w:type="paragraph" w:styleId="ListNumber2">
    <w:name w:val="List Number 2"/>
    <w:basedOn w:val="List2"/>
    <w:rsid w:val="002F4020"/>
    <w:pPr>
      <w:numPr>
        <w:numId w:val="9"/>
      </w:numPr>
      <w:tabs>
        <w:tab w:val="clear" w:pos="1060"/>
      </w:tabs>
    </w:pPr>
  </w:style>
  <w:style w:type="paragraph" w:customStyle="1" w:styleId="MarginNote">
    <w:name w:val="Margin Note"/>
    <w:basedOn w:val="BodyText"/>
    <w:rsid w:val="002F4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020"/>
    <w:rPr>
      <w:sz w:val="32"/>
    </w:rPr>
  </w:style>
  <w:style w:type="paragraph" w:customStyle="1" w:styleId="HeadingProcedure">
    <w:name w:val="Heading Procedure"/>
    <w:basedOn w:val="HeadingBase"/>
    <w:next w:val="Normal"/>
    <w:rsid w:val="002F4020"/>
    <w:pPr>
      <w:tabs>
        <w:tab w:val="left" w:pos="0"/>
      </w:tabs>
      <w:spacing w:before="120" w:after="60"/>
    </w:pPr>
    <w:rPr>
      <w:i/>
      <w:color w:val="918585"/>
      <w:sz w:val="22"/>
    </w:rPr>
  </w:style>
  <w:style w:type="paragraph" w:customStyle="1" w:styleId="TableBodyText">
    <w:name w:val="Table Body Text"/>
    <w:basedOn w:val="BodyText"/>
    <w:rsid w:val="002F4020"/>
    <w:pPr>
      <w:spacing w:before="60" w:after="60"/>
    </w:pPr>
  </w:style>
  <w:style w:type="paragraph" w:styleId="ListContinue">
    <w:name w:val="List Continue"/>
    <w:basedOn w:val="List"/>
    <w:rsid w:val="002F4020"/>
    <w:pPr>
      <w:ind w:firstLine="0"/>
    </w:pPr>
  </w:style>
  <w:style w:type="paragraph" w:customStyle="1" w:styleId="ListNote">
    <w:name w:val="List Note"/>
    <w:basedOn w:val="List"/>
    <w:rsid w:val="002F4020"/>
    <w:pPr>
      <w:pBdr>
        <w:top w:val="single" w:sz="6" w:space="2" w:color="918585"/>
        <w:bottom w:val="single" w:sz="6" w:space="2" w:color="918585"/>
      </w:pBdr>
      <w:tabs>
        <w:tab w:val="left" w:pos="1021"/>
      </w:tabs>
      <w:ind w:firstLine="0"/>
    </w:pPr>
  </w:style>
  <w:style w:type="paragraph" w:customStyle="1" w:styleId="Warning">
    <w:name w:val="Warning"/>
    <w:basedOn w:val="BodyText"/>
    <w:rsid w:val="002F4020"/>
    <w:pPr>
      <w:shd w:val="clear" w:color="auto" w:fill="D9D9D9"/>
      <w:tabs>
        <w:tab w:val="left" w:pos="992"/>
      </w:tabs>
      <w:ind w:left="119" w:right="119"/>
    </w:pPr>
    <w:rPr>
      <w:sz w:val="20"/>
    </w:rPr>
  </w:style>
  <w:style w:type="paragraph" w:customStyle="1" w:styleId="MarginIcons">
    <w:name w:val="Margin Icons"/>
    <w:basedOn w:val="BodyText"/>
    <w:rsid w:val="002F4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020"/>
    <w:rPr>
      <w:rFonts w:ascii="Courier New" w:hAnsi="Courier New"/>
    </w:rPr>
  </w:style>
  <w:style w:type="paragraph" w:customStyle="1" w:styleId="NoteBullet">
    <w:name w:val="Note Bullet"/>
    <w:basedOn w:val="Note"/>
    <w:rsid w:val="002F4020"/>
    <w:pPr>
      <w:tabs>
        <w:tab w:val="clear" w:pos="680"/>
      </w:tabs>
      <w:spacing w:before="60" w:after="60"/>
    </w:pPr>
  </w:style>
  <w:style w:type="paragraph" w:customStyle="1" w:styleId="SubHeading2">
    <w:name w:val="SubHeading2"/>
    <w:basedOn w:val="HeadingBase"/>
    <w:rsid w:val="002F4020"/>
    <w:pPr>
      <w:spacing w:before="240" w:after="60"/>
    </w:pPr>
    <w:rPr>
      <w:sz w:val="20"/>
    </w:rPr>
  </w:style>
  <w:style w:type="paragraph" w:customStyle="1" w:styleId="SubHeading1">
    <w:name w:val="SubHeading1"/>
    <w:basedOn w:val="HeadingBase"/>
    <w:rsid w:val="002F4020"/>
    <w:pPr>
      <w:spacing w:before="240" w:after="60"/>
    </w:pPr>
    <w:rPr>
      <w:color w:val="918585"/>
      <w:sz w:val="22"/>
    </w:rPr>
  </w:style>
  <w:style w:type="paragraph" w:customStyle="1" w:styleId="SideHeading">
    <w:name w:val="Side Heading"/>
    <w:basedOn w:val="HeadingBase"/>
    <w:rsid w:val="002F4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20"/>
    <w:pPr>
      <w:numPr>
        <w:numId w:val="10"/>
      </w:numPr>
    </w:pPr>
  </w:style>
  <w:style w:type="paragraph" w:styleId="PlainText">
    <w:name w:val="Plain Text"/>
    <w:basedOn w:val="Normal"/>
    <w:link w:val="PlainTextChar"/>
    <w:rsid w:val="002F4020"/>
    <w:rPr>
      <w:sz w:val="20"/>
    </w:rPr>
  </w:style>
  <w:style w:type="character" w:customStyle="1" w:styleId="PlainTextChar">
    <w:name w:val="Plain Text Char"/>
    <w:basedOn w:val="DefaultParagraphFont"/>
    <w:link w:val="PlainText"/>
    <w:rsid w:val="002F4020"/>
    <w:rPr>
      <w:rFonts w:ascii="Courier New" w:eastAsia="Times New Roman" w:hAnsi="Courier New" w:cs="Times New Roman"/>
      <w:sz w:val="20"/>
      <w:szCs w:val="20"/>
      <w:lang w:eastAsia="en-US"/>
    </w:rPr>
  </w:style>
  <w:style w:type="character" w:customStyle="1" w:styleId="MenuOption">
    <w:name w:val="Menu Option"/>
    <w:basedOn w:val="DefaultParagraphFont"/>
    <w:rsid w:val="002F4020"/>
    <w:rPr>
      <w:b/>
      <w:smallCaps/>
    </w:rPr>
  </w:style>
  <w:style w:type="paragraph" w:customStyle="1" w:styleId="TableListNumber">
    <w:name w:val="Table List Number"/>
    <w:basedOn w:val="ListNumber"/>
    <w:rsid w:val="002F4020"/>
    <w:pPr>
      <w:numPr>
        <w:numId w:val="0"/>
      </w:numPr>
    </w:pPr>
  </w:style>
  <w:style w:type="paragraph" w:styleId="TOC4">
    <w:name w:val="toc 4"/>
    <w:basedOn w:val="TOCBase"/>
    <w:next w:val="Normal"/>
    <w:semiHidden/>
    <w:rsid w:val="002F4020"/>
    <w:pPr>
      <w:tabs>
        <w:tab w:val="right" w:leader="dot" w:pos="9071"/>
      </w:tabs>
      <w:ind w:left="1701"/>
    </w:pPr>
  </w:style>
  <w:style w:type="paragraph" w:customStyle="1" w:styleId="ListAlpha">
    <w:name w:val="List Alpha"/>
    <w:basedOn w:val="List"/>
    <w:rsid w:val="002F4020"/>
    <w:pPr>
      <w:numPr>
        <w:numId w:val="8"/>
      </w:numPr>
    </w:pPr>
  </w:style>
  <w:style w:type="paragraph" w:customStyle="1" w:styleId="ListAlpha2">
    <w:name w:val="List Alpha 2"/>
    <w:basedOn w:val="List2"/>
    <w:rsid w:val="002F4020"/>
    <w:pPr>
      <w:numPr>
        <w:numId w:val="7"/>
      </w:numPr>
    </w:pPr>
  </w:style>
  <w:style w:type="paragraph" w:styleId="List2">
    <w:name w:val="List 2"/>
    <w:basedOn w:val="BodyText"/>
    <w:rsid w:val="002F4020"/>
    <w:pPr>
      <w:tabs>
        <w:tab w:val="left" w:pos="680"/>
      </w:tabs>
      <w:spacing w:before="60" w:after="60"/>
      <w:ind w:left="680" w:hanging="340"/>
    </w:pPr>
  </w:style>
  <w:style w:type="paragraph" w:styleId="List3">
    <w:name w:val="List 3"/>
    <w:basedOn w:val="BodyText"/>
    <w:rsid w:val="002F4020"/>
    <w:pPr>
      <w:tabs>
        <w:tab w:val="left" w:pos="1021"/>
      </w:tabs>
      <w:spacing w:before="60" w:after="60"/>
      <w:ind w:left="1020" w:hanging="340"/>
    </w:pPr>
  </w:style>
  <w:style w:type="paragraph" w:styleId="List4">
    <w:name w:val="List 4"/>
    <w:basedOn w:val="BodyText"/>
    <w:rsid w:val="002F4020"/>
    <w:pPr>
      <w:tabs>
        <w:tab w:val="left" w:pos="1361"/>
      </w:tabs>
      <w:spacing w:before="60" w:after="60"/>
      <w:ind w:left="1361" w:hanging="340"/>
    </w:pPr>
  </w:style>
  <w:style w:type="paragraph" w:styleId="List5">
    <w:name w:val="List 5"/>
    <w:basedOn w:val="BodyText"/>
    <w:rsid w:val="002F4020"/>
    <w:pPr>
      <w:tabs>
        <w:tab w:val="left" w:pos="1701"/>
      </w:tabs>
      <w:spacing w:before="60" w:after="60"/>
      <w:ind w:left="1701" w:hanging="340"/>
    </w:pPr>
  </w:style>
  <w:style w:type="paragraph" w:styleId="ListBullet3">
    <w:name w:val="List Bullet 3"/>
    <w:basedOn w:val="List3"/>
    <w:rsid w:val="002F4020"/>
    <w:pPr>
      <w:numPr>
        <w:numId w:val="13"/>
      </w:numPr>
      <w:tabs>
        <w:tab w:val="clear" w:pos="1021"/>
      </w:tabs>
      <w:ind w:left="1037" w:hanging="357"/>
    </w:pPr>
  </w:style>
  <w:style w:type="paragraph" w:styleId="ListBullet4">
    <w:name w:val="List Bullet 4"/>
    <w:basedOn w:val="List4"/>
    <w:rsid w:val="002F4020"/>
    <w:pPr>
      <w:numPr>
        <w:numId w:val="2"/>
      </w:numPr>
      <w:tabs>
        <w:tab w:val="clear" w:pos="1361"/>
      </w:tabs>
    </w:pPr>
  </w:style>
  <w:style w:type="paragraph" w:styleId="ListBullet5">
    <w:name w:val="List Bullet 5"/>
    <w:basedOn w:val="List5"/>
    <w:rsid w:val="002F4020"/>
    <w:pPr>
      <w:numPr>
        <w:numId w:val="3"/>
      </w:numPr>
    </w:pPr>
  </w:style>
  <w:style w:type="paragraph" w:styleId="ListContinue2">
    <w:name w:val="List Continue 2"/>
    <w:basedOn w:val="List2"/>
    <w:rsid w:val="002F4020"/>
    <w:pPr>
      <w:ind w:firstLine="0"/>
    </w:pPr>
  </w:style>
  <w:style w:type="paragraph" w:styleId="ListContinue3">
    <w:name w:val="List Continue 3"/>
    <w:basedOn w:val="List3"/>
    <w:rsid w:val="002F4020"/>
    <w:pPr>
      <w:ind w:left="1021" w:firstLine="0"/>
    </w:pPr>
  </w:style>
  <w:style w:type="paragraph" w:styleId="ListContinue4">
    <w:name w:val="List Continue 4"/>
    <w:basedOn w:val="List4"/>
    <w:rsid w:val="002F4020"/>
    <w:pPr>
      <w:ind w:firstLine="0"/>
    </w:pPr>
  </w:style>
  <w:style w:type="paragraph" w:styleId="ListContinue5">
    <w:name w:val="List Continue 5"/>
    <w:basedOn w:val="List5"/>
    <w:rsid w:val="002F4020"/>
    <w:pPr>
      <w:ind w:firstLine="0"/>
    </w:pPr>
  </w:style>
  <w:style w:type="paragraph" w:styleId="ListNumber3">
    <w:name w:val="List Number 3"/>
    <w:basedOn w:val="List3"/>
    <w:rsid w:val="002F4020"/>
    <w:pPr>
      <w:numPr>
        <w:numId w:val="4"/>
      </w:numPr>
    </w:pPr>
  </w:style>
  <w:style w:type="paragraph" w:styleId="ListNumber4">
    <w:name w:val="List Number 4"/>
    <w:basedOn w:val="List4"/>
    <w:rsid w:val="002F4020"/>
    <w:pPr>
      <w:numPr>
        <w:numId w:val="5"/>
      </w:numPr>
    </w:pPr>
  </w:style>
  <w:style w:type="paragraph" w:styleId="ListNumber5">
    <w:name w:val="List Number 5"/>
    <w:basedOn w:val="List5"/>
    <w:rsid w:val="002F4020"/>
    <w:pPr>
      <w:numPr>
        <w:numId w:val="6"/>
      </w:numPr>
    </w:pPr>
  </w:style>
  <w:style w:type="paragraph" w:styleId="BlockText">
    <w:name w:val="Block Text"/>
    <w:basedOn w:val="Normal"/>
    <w:rsid w:val="002F4020"/>
    <w:pPr>
      <w:spacing w:after="120"/>
      <w:ind w:left="1440" w:right="1440"/>
    </w:pPr>
  </w:style>
  <w:style w:type="character" w:customStyle="1" w:styleId="Subscript">
    <w:name w:val="Subscript"/>
    <w:basedOn w:val="DefaultParagraphFont"/>
    <w:rsid w:val="002F4020"/>
    <w:rPr>
      <w:sz w:val="16"/>
      <w:vertAlign w:val="subscript"/>
    </w:rPr>
  </w:style>
  <w:style w:type="character" w:customStyle="1" w:styleId="Superscript">
    <w:name w:val="Superscript"/>
    <w:basedOn w:val="DefaultParagraphFont"/>
    <w:rsid w:val="002F4020"/>
    <w:rPr>
      <w:sz w:val="16"/>
      <w:vertAlign w:val="superscript"/>
    </w:rPr>
  </w:style>
  <w:style w:type="character" w:customStyle="1" w:styleId="Symbols">
    <w:name w:val="Symbols"/>
    <w:basedOn w:val="DefaultParagraphFont"/>
    <w:rsid w:val="002F4020"/>
    <w:rPr>
      <w:rFonts w:ascii="Symbol" w:hAnsi="Symbol"/>
    </w:rPr>
  </w:style>
  <w:style w:type="character" w:customStyle="1" w:styleId="MenuOptions">
    <w:name w:val="Menu Options"/>
    <w:basedOn w:val="DefaultParagraphFont"/>
    <w:rsid w:val="002F4020"/>
    <w:rPr>
      <w:rFonts w:ascii="Arial Narrow" w:hAnsi="Arial Narrow"/>
      <w:smallCaps/>
    </w:rPr>
  </w:style>
  <w:style w:type="character" w:customStyle="1" w:styleId="Buttons">
    <w:name w:val="Buttons"/>
    <w:basedOn w:val="DefaultParagraphFont"/>
    <w:rsid w:val="002F4020"/>
    <w:rPr>
      <w:b/>
    </w:rPr>
  </w:style>
  <w:style w:type="character" w:customStyle="1" w:styleId="Underlined">
    <w:name w:val="Underlined"/>
    <w:basedOn w:val="DefaultParagraphFont"/>
    <w:rsid w:val="002F4020"/>
    <w:rPr>
      <w:u w:val="single"/>
    </w:rPr>
  </w:style>
  <w:style w:type="paragraph" w:customStyle="1" w:styleId="TableBodyTextRight">
    <w:name w:val="Table Body Text Right"/>
    <w:basedOn w:val="TableBodyText"/>
    <w:rsid w:val="002F4020"/>
    <w:pPr>
      <w:widowControl w:val="0"/>
      <w:autoSpaceDE w:val="0"/>
      <w:autoSpaceDN w:val="0"/>
      <w:adjustRightInd w:val="0"/>
      <w:jc w:val="right"/>
    </w:pPr>
    <w:rPr>
      <w:rFonts w:cs="Arial"/>
      <w:szCs w:val="18"/>
    </w:rPr>
  </w:style>
  <w:style w:type="paragraph" w:customStyle="1" w:styleId="CopyrightText">
    <w:name w:val="Copyright Text"/>
    <w:basedOn w:val="BodyText"/>
    <w:rsid w:val="002F4020"/>
    <w:rPr>
      <w:sz w:val="18"/>
    </w:rPr>
  </w:style>
  <w:style w:type="paragraph" w:customStyle="1" w:styleId="BodySmallRight">
    <w:name w:val="Body Small Right"/>
    <w:basedOn w:val="BodyTextRight"/>
    <w:rsid w:val="002F4020"/>
    <w:rPr>
      <w:sz w:val="18"/>
      <w:szCs w:val="18"/>
    </w:rPr>
  </w:style>
  <w:style w:type="paragraph" w:customStyle="1" w:styleId="MarginEdition">
    <w:name w:val="Margin Edition"/>
    <w:basedOn w:val="MarginNote"/>
    <w:rsid w:val="002F4020"/>
    <w:pPr>
      <w:spacing w:before="0" w:after="0"/>
    </w:pPr>
    <w:rPr>
      <w:rFonts w:ascii="Times New Roman" w:hAnsi="Times New Roman"/>
      <w:color w:val="999999"/>
    </w:rPr>
  </w:style>
  <w:style w:type="paragraph" w:customStyle="1" w:styleId="Spacer">
    <w:name w:val="Spacer"/>
    <w:basedOn w:val="Normal"/>
    <w:rsid w:val="002F4020"/>
    <w:rPr>
      <w:sz w:val="2"/>
      <w:szCs w:val="2"/>
    </w:rPr>
  </w:style>
  <w:style w:type="character" w:customStyle="1" w:styleId="Small">
    <w:name w:val="Small"/>
    <w:basedOn w:val="DefaultParagraphFont"/>
    <w:rsid w:val="002F4020"/>
    <w:rPr>
      <w:sz w:val="16"/>
    </w:rPr>
  </w:style>
  <w:style w:type="paragraph" w:customStyle="1" w:styleId="WideTable">
    <w:name w:val="Wide Table"/>
    <w:basedOn w:val="Normal"/>
    <w:rsid w:val="002F4020"/>
    <w:pPr>
      <w:ind w:left="-1418"/>
    </w:pPr>
    <w:rPr>
      <w:sz w:val="2"/>
      <w:szCs w:val="2"/>
    </w:rPr>
  </w:style>
  <w:style w:type="character" w:styleId="PageNumber">
    <w:name w:val="page number"/>
    <w:basedOn w:val="DefaultParagraphFont"/>
    <w:rsid w:val="002F4020"/>
  </w:style>
  <w:style w:type="paragraph" w:styleId="Quote">
    <w:name w:val="Quote"/>
    <w:basedOn w:val="Heading1"/>
    <w:link w:val="QuoteChar"/>
    <w:qFormat/>
    <w:rsid w:val="002F4020"/>
    <w:rPr>
      <w:b w:val="0"/>
      <w:sz w:val="72"/>
      <w:szCs w:val="72"/>
      <w:lang w:val="en-NZ"/>
    </w:rPr>
  </w:style>
  <w:style w:type="character" w:customStyle="1" w:styleId="QuoteChar">
    <w:name w:val="Quote Char"/>
    <w:basedOn w:val="DefaultParagraphFont"/>
    <w:link w:val="Quote"/>
    <w:rsid w:val="002F4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20"/>
    <w:pPr>
      <w:pageBreakBefore/>
    </w:pPr>
  </w:style>
  <w:style w:type="paragraph" w:customStyle="1" w:styleId="Border">
    <w:name w:val="Border"/>
    <w:basedOn w:val="Normal"/>
    <w:qFormat/>
    <w:rsid w:val="002F4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020"/>
    <w:rPr>
      <w:b/>
      <w:bCs/>
      <w:i/>
      <w:iCs/>
      <w:color w:val="auto"/>
    </w:rPr>
  </w:style>
  <w:style w:type="paragraph" w:styleId="IntenseQuote">
    <w:name w:val="Intense Quote"/>
    <w:basedOn w:val="Normal"/>
    <w:next w:val="Normal"/>
    <w:link w:val="IntenseQuoteChar"/>
    <w:uiPriority w:val="30"/>
    <w:qFormat/>
    <w:rsid w:val="002F4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020"/>
    <w:rPr>
      <w:smallCaps/>
      <w:color w:val="auto"/>
      <w:u w:val="single"/>
    </w:rPr>
  </w:style>
  <w:style w:type="character" w:styleId="IntenseReference">
    <w:name w:val="Intense Reference"/>
    <w:basedOn w:val="DefaultParagraphFont"/>
    <w:uiPriority w:val="32"/>
    <w:qFormat/>
    <w:rsid w:val="002F4020"/>
    <w:rPr>
      <w:b/>
      <w:bCs/>
      <w:smallCaps/>
      <w:color w:val="auto"/>
      <w:spacing w:val="5"/>
      <w:u w:val="single"/>
    </w:rPr>
  </w:style>
  <w:style w:type="paragraph" w:customStyle="1" w:styleId="2ColumnHeading">
    <w:name w:val="2Column Heading"/>
    <w:basedOn w:val="BodyText"/>
    <w:qFormat/>
    <w:rsid w:val="002F4020"/>
    <w:pPr>
      <w:spacing w:after="60"/>
      <w:ind w:left="-2268"/>
    </w:pPr>
    <w:rPr>
      <w:b/>
    </w:rPr>
  </w:style>
  <w:style w:type="paragraph" w:customStyle="1" w:styleId="Heading1TOC">
    <w:name w:val="Heading1 TOC"/>
    <w:basedOn w:val="Normal"/>
    <w:qFormat/>
    <w:rsid w:val="002F4020"/>
    <w:pPr>
      <w:spacing w:before="240" w:after="120"/>
    </w:pPr>
    <w:rPr>
      <w:rFonts w:ascii="Times New Roman" w:hAnsi="Times New Roman"/>
      <w:b/>
      <w:sz w:val="32"/>
    </w:rPr>
  </w:style>
  <w:style w:type="paragraph" w:customStyle="1" w:styleId="Heading2TOC">
    <w:name w:val="Heading2 TOC"/>
    <w:basedOn w:val="Normal"/>
    <w:qFormat/>
    <w:rsid w:val="002F4020"/>
    <w:pPr>
      <w:spacing w:before="240" w:after="60"/>
    </w:pPr>
    <w:rPr>
      <w:rFonts w:ascii="Times New Roman" w:hAnsi="Times New Roman"/>
      <w:b/>
      <w:sz w:val="28"/>
    </w:rPr>
  </w:style>
  <w:style w:type="character" w:customStyle="1" w:styleId="Underline">
    <w:name w:val="Underline"/>
    <w:basedOn w:val="DefaultParagraphFont"/>
    <w:qFormat/>
    <w:rsid w:val="002F4020"/>
    <w:rPr>
      <w:u w:val="single"/>
    </w:rPr>
  </w:style>
  <w:style w:type="character" w:customStyle="1" w:styleId="BoldandItalics">
    <w:name w:val="Bold and Italics"/>
    <w:qFormat/>
    <w:rsid w:val="002F4020"/>
    <w:rPr>
      <w:b/>
      <w:i/>
      <w:u w:val="none"/>
    </w:rPr>
  </w:style>
  <w:style w:type="paragraph" w:styleId="BalloonText">
    <w:name w:val="Balloon Text"/>
    <w:basedOn w:val="Normal"/>
    <w:link w:val="BalloonTextChar"/>
    <w:rsid w:val="002F4020"/>
    <w:rPr>
      <w:rFonts w:ascii="Tahoma" w:hAnsi="Tahoma" w:cs="Tahoma"/>
      <w:sz w:val="16"/>
      <w:szCs w:val="16"/>
    </w:rPr>
  </w:style>
  <w:style w:type="character" w:customStyle="1" w:styleId="BalloonTextChar">
    <w:name w:val="Balloon Text Char"/>
    <w:basedOn w:val="DefaultParagraphFont"/>
    <w:link w:val="BalloonText"/>
    <w:rsid w:val="002F4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020"/>
    <w:rPr>
      <w:b/>
      <w:color w:val="660033"/>
      <w:spacing w:val="0"/>
    </w:rPr>
  </w:style>
  <w:style w:type="paragraph" w:customStyle="1" w:styleId="Nameditemlist">
    <w:name w:val="Named item list"/>
    <w:basedOn w:val="BodyText"/>
    <w:qFormat/>
    <w:rsid w:val="002F4020"/>
    <w:pPr>
      <w:tabs>
        <w:tab w:val="left" w:pos="2835"/>
      </w:tabs>
      <w:ind w:left="2835" w:hanging="2835"/>
    </w:pPr>
  </w:style>
  <w:style w:type="paragraph" w:customStyle="1" w:styleId="BodyTextnopadding">
    <w:name w:val="Body Text no padding"/>
    <w:basedOn w:val="BodyText"/>
    <w:qFormat/>
    <w:rsid w:val="002F4020"/>
    <w:pPr>
      <w:spacing w:before="0" w:after="0"/>
    </w:pPr>
  </w:style>
  <w:style w:type="paragraph" w:customStyle="1" w:styleId="BodyTextBold">
    <w:name w:val="Body Text Bold"/>
    <w:basedOn w:val="BodyText"/>
    <w:qFormat/>
    <w:rsid w:val="002F4020"/>
    <w:rPr>
      <w:b/>
    </w:rPr>
  </w:style>
  <w:style w:type="character" w:styleId="Hyperlink">
    <w:name w:val="Hyperlink"/>
    <w:basedOn w:val="DefaultParagraphFont"/>
    <w:uiPriority w:val="99"/>
    <w:unhideWhenUsed/>
    <w:rsid w:val="008D3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1324</Words>
  <Characters>7525</Characters>
  <Application>Microsoft Office Word</Application>
  <DocSecurity>0</DocSecurity>
  <Lines>342</Lines>
  <Paragraphs>160</Paragraphs>
  <ScaleCrop>false</ScaleCrop>
  <Company>Author-it Software Corporation Ltd.</Company>
  <LinksUpToDate>false</LinksUpToDate>
  <CharactersWithSpaces>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TLILIC0021 Licence to operate a slewing mobile crane (up to 100 Tonnes)</dc:title>
  <dc:subject>Approved</dc:subject>
  <dc:creator>Industry Skills Australia</dc:creator>
  <cp:keywords>Release: 1</cp:keywords>
  <dc:description>Review Date: 12 April 2008</dc:description>
  <cp:lastModifiedBy>HSD_TPCMSd.prod</cp:lastModifiedBy>
  <cp:revision>3</cp:revision>
  <dcterms:created xsi:type="dcterms:W3CDTF">2024-07-12T07:33:00Z</dcterms:created>
  <dcterms:modified xsi:type="dcterms:W3CDTF">2024-07-12T07:33:00Z</dcterms:modified>
</cp:coreProperties>
</file>