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48C" w:rsidP="00505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TLILIC0020 Licence to operate a slewing mobile crane (over 100 Tonnes)</w:t>
      </w:r>
      <w:r>
        <w:fldChar w:fldCharType="end"/>
      </w:r>
    </w:p>
    <w:p w:rsidR="0050548C" w:rsidP="0050548C">
      <w:pPr>
        <w:pStyle w:val="Version"/>
        <w:sectPr w:rsidSect="00FD3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C89" w:rsidP="00FD3C89">
      <w:pPr>
        <w:pStyle w:val="SuperHeading"/>
      </w:pPr>
      <w:r w:rsidRPr="00FD3C89">
        <w:t>TLILIC0020 Licence to operate a slewing mobile crane (over 100 Tonnes)</w:t>
      </w:r>
    </w:p>
    <w:p w:rsidR="00000000" w:rsidRPr="00FD3C89" w:rsidP="00FD3C89">
      <w:pPr>
        <w:pStyle w:val="Heading1"/>
      </w:pPr>
      <w:bookmarkStart w:id="1" w:name="O_1205312"/>
      <w:bookmarkEnd w:id="1"/>
      <w:r w:rsidRPr="00FD3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Release 1</w:t>
            </w:r>
            <w:r w:rsidRPr="00FD3C89">
              <w:t>. This is the first release of this unit of competency in the TLI Transport and Logistics Training Package.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2" w:name="O_1205313"/>
      <w:bookmarkEnd w:id="2"/>
      <w:r w:rsidRPr="00FD3C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This unit specifies the skills and knowledge required to safely operate a slewing mobile crane with a Maximum Rated Capacity (MRC) over 100 tonnes in accordance with all relevant legislative responsibilities. Competence in this unit, does not i</w:t>
            </w:r>
            <w:r w:rsidRPr="00FD3C89">
              <w:t>n itself result in a High-Risk Work Licence (HRWL) to operate this plant.</w:t>
            </w:r>
          </w:p>
          <w:p w:rsidR="00000000" w:rsidRPr="00FD3C89" w:rsidP="00FD3C89">
            <w:pPr>
              <w:pStyle w:val="BodyText"/>
            </w:pPr>
            <w:r w:rsidRPr="00FD3C89">
              <w:t>Slewing mobile crane means a mobile crane incorporating a boom or jib that can be slewed, but does not include:</w:t>
            </w:r>
          </w:p>
          <w:p w:rsidR="00000000" w:rsidRPr="00FD3C89" w:rsidP="00FD3C89">
            <w:pPr>
              <w:pStyle w:val="ListBullet"/>
            </w:pPr>
            <w:r w:rsidRPr="00FD3C89">
              <w:t>a front-end loader, or</w:t>
            </w:r>
          </w:p>
          <w:p w:rsidR="00000000" w:rsidRPr="00FD3C89" w:rsidP="00FD3C89">
            <w:pPr>
              <w:pStyle w:val="ListBullet"/>
            </w:pPr>
            <w:r w:rsidRPr="00FD3C89">
              <w:t>a backhoe, or</w:t>
            </w:r>
          </w:p>
          <w:p w:rsidR="00000000" w:rsidRPr="00FD3C89" w:rsidP="00FD3C89">
            <w:pPr>
              <w:pStyle w:val="ListBullet"/>
            </w:pPr>
            <w:r w:rsidRPr="00FD3C89">
              <w:t>an excavator, or</w:t>
            </w:r>
          </w:p>
          <w:p w:rsidR="00000000" w:rsidRPr="00FD3C89" w:rsidP="00FD3C89">
            <w:pPr>
              <w:pStyle w:val="ListBullet"/>
            </w:pPr>
            <w:r w:rsidRPr="00FD3C89">
              <w:t>other earth mov</w:t>
            </w:r>
            <w:r w:rsidRPr="00FD3C89">
              <w:t>ing equipment, when configured for crane operation.</w:t>
            </w:r>
          </w:p>
          <w:p w:rsidR="00000000" w:rsidRPr="00FD3C89" w:rsidP="00FD3C89">
            <w:pPr>
              <w:pStyle w:val="BodyText"/>
            </w:pPr>
            <w:r w:rsidRPr="00FD3C89">
              <w:t>A person performing this work is required to hold a slewing mobile crane with an MRC over 100 tonnes HRWL.</w:t>
            </w:r>
          </w:p>
          <w:p w:rsidR="00000000" w:rsidRPr="00FD3C89" w:rsidP="00FD3C89">
            <w:pPr>
              <w:pStyle w:val="BodyText"/>
            </w:pPr>
            <w:r w:rsidRPr="00FD3C89">
              <w:t>This unit requires a person operating a slewing mobile crane with an MRC over 100 tonnes to:</w:t>
            </w:r>
          </w:p>
          <w:p w:rsidR="00000000" w:rsidRPr="00FD3C89" w:rsidP="00FD3C89">
            <w:pPr>
              <w:pStyle w:val="ListBullet"/>
            </w:pPr>
            <w:r w:rsidRPr="00FD3C89">
              <w:t>plan for the work/task</w:t>
            </w:r>
          </w:p>
          <w:p w:rsidR="00000000" w:rsidRPr="00FD3C89" w:rsidP="00FD3C89">
            <w:pPr>
              <w:pStyle w:val="ListBullet"/>
            </w:pPr>
            <w:r w:rsidRPr="00FD3C89">
              <w:t>prepare for the work/task</w:t>
            </w:r>
          </w:p>
          <w:p w:rsidR="00000000" w:rsidRPr="00FD3C89" w:rsidP="00FD3C89">
            <w:pPr>
              <w:pStyle w:val="ListBullet"/>
            </w:pPr>
            <w:r w:rsidRPr="00FD3C89">
              <w:t xml:space="preserve">perform work/task </w:t>
            </w:r>
          </w:p>
          <w:p w:rsidR="00000000" w:rsidRPr="00FD3C89" w:rsidP="00FD3C89">
            <w:pPr>
              <w:pStyle w:val="ListBullet"/>
            </w:pPr>
            <w:r w:rsidRPr="00FD3C89">
              <w:t>pack up.</w:t>
            </w:r>
          </w:p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Licensing/Regulatory Information</w:t>
            </w:r>
          </w:p>
          <w:p w:rsidR="00000000" w:rsidRPr="00FD3C89" w:rsidP="00FD3C89">
            <w:pPr>
              <w:pStyle w:val="BodyText"/>
            </w:pPr>
            <w:r w:rsidRPr="00FD3C89">
              <w:t xml:space="preserve">Legislative and regulatory requirements are applicable to this unit of competency. </w:t>
            </w:r>
          </w:p>
          <w:p w:rsidR="00000000" w:rsidRPr="00FD3C89" w:rsidP="00FD3C89">
            <w:pPr>
              <w:pStyle w:val="BodyText"/>
            </w:pPr>
            <w:r w:rsidRPr="00FD3C89">
              <w:t>This unit is based on the licensing requirements of Part 4.5 o</w:t>
            </w:r>
            <w:r w:rsidRPr="00FD3C89">
              <w:t xml:space="preserve">f the Model Work Health and Safety (WHS) regulations and meets Commonwealth, state and territory HRWL requirements. </w:t>
            </w:r>
          </w:p>
          <w:p w:rsidR="00000000" w:rsidRPr="00FD3C89" w:rsidP="00FD3C89">
            <w:pPr>
              <w:pStyle w:val="BodyText"/>
            </w:pPr>
            <w:r w:rsidRPr="00FD3C89">
              <w:t>The National Assessment Instrument (NAI) is the mandated assessment for the HRWL to operate the relevant licensing class as detailed in thi</w:t>
            </w:r>
            <w:r w:rsidRPr="00FD3C89">
              <w:t xml:space="preserve">s unit.  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3" w:name="O_1205314"/>
      <w:bookmarkEnd w:id="3"/>
      <w:r w:rsidRPr="00FD3C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Not applicable.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4" w:name="O_1205315"/>
      <w:bookmarkEnd w:id="4"/>
      <w:r w:rsidRPr="00FD3C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LIC - Licencing Units.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5" w:name="O_1205316"/>
      <w:bookmarkEnd w:id="5"/>
      <w:r w:rsidRPr="00FD3C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Not applicable.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6" w:name="O_1205317"/>
      <w:bookmarkEnd w:id="6"/>
      <w:r w:rsidRPr="00FD3C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PERFORMANCE CRITERIA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Performance criteria describe the performance needed to demonstrate achievement of the element.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Task requirements are identified from work orders or equivale</w:t>
            </w:r>
            <w:r w:rsidRPr="00FD3C89">
              <w:t>nt, a lift plan is confirmed with associated personnel and a site inspection is conducted in accordance with workplace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Work area operating surface is confirmed to determine the quality of ground suitability for operational use of mobile c</w:t>
            </w:r>
            <w:r w:rsidRPr="00FD3C89">
              <w:t>rane in accordance with workplace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Mobile crane Rated Capacity (RC) and the lifting gear Working Load Limit (WLL) are established for the load/s and work/task requirements in accordance </w:t>
            </w:r>
            <w:r w:rsidRPr="00FD3C89">
              <w:t xml:space="preserve">with manufacturer requirements and workplace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Appropriate paths for operating the mobile crane and moving and placing load/s in work area are assessed and determined in accordance with workplace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Traffic management plan implementation is confirmed and followed in accordance with workpla</w:t>
            </w:r>
            <w:r w:rsidRPr="00FD3C89">
              <w:t xml:space="preserve">ce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Appropriate communication procedures are identified and tested with associated personnel in accordance with workplace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All tasks are confirmed to ensure requirements for the relevant work area in accordance with a lift plan and </w:t>
            </w:r>
            <w:r w:rsidRPr="00FD3C89">
              <w:t>workplace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Information required to ensure that lifting equipment and gear inspection, use, maintenance and storage complies with manufacturer requirements is obtained and interpreted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Consultation with workplace personnel is established an</w:t>
            </w:r>
            <w:r w:rsidRPr="00FD3C89">
              <w:t>d maintained to ensure lift plan is clear and consistent with site requirements in accordance with a lift plan and workplace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Risk control measures for hazards identified are checked for implementation in accordance with the lift plan and </w:t>
            </w:r>
            <w:r w:rsidRPr="00FD3C89">
              <w:t>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Mobile crane is accessed safely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Mobile crane is set up correctly with any lifting gear and stabilised as per the lift plan in accordance with relevant manufacturer requirements, including load chart/s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Counterweight/s are set up as required in accordance wi</w:t>
            </w:r>
            <w:r w:rsidRPr="00FD3C89">
              <w:t>th the lift plan, relevant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Fly jib and/or luffing fly are set up as required in accordance with specific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Crane logbook is checked to confirm current compliance, is cor</w:t>
            </w:r>
            <w:r w:rsidRPr="00FD3C89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Weather and work environment conditions are assessed to determine any impact o</w:t>
            </w:r>
            <w:r w:rsidRPr="00FD3C89">
              <w:t>n mobile crane operations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Weight of the load is confirmed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Derated WLL of lifting equipment resulting from selected slinging techniques is calculated and confirmed as suitable to meet the requirements of the lift plan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Suitable lifting points and slinging techniques are identified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Lifting equipment </w:t>
            </w:r>
            <w:r w:rsidRPr="00FD3C89">
              <w:t>and gear are confirmed as ready for safe use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2.15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Load destination stability is confirmed ensuring it is able to bear the load and is prepared for safe access and landing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Lifts are determined within the RC of the mobile crane i</w:t>
            </w:r>
            <w:r w:rsidRPr="00FD3C89">
              <w:t>n accordance with the load chart/s and lift plan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Main and/or auxiliary hook, including any lifting gear where required, are connected to the load and used safely in accordance with the lift plan, safe work procedures and manufacturer requirements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Test lift is carried out in accordance with dogging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Loads are transferred using relevant crane movements and tag lines, as required, in accordance with lift plan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Load and crane movement is monitored constantly and crane is operated safely in accordance with lift plan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All required communication signals are correctly interpreted and followed whilst crane is operated in accordance with </w:t>
            </w:r>
            <w:r w:rsidRPr="00FD3C89">
              <w:t xml:space="preserve">the lift plan and safe work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Load is lowered and landed safely in accordance with lift plan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Lifting equipment and gear are inspected for defects, and defective items are isolated, labelled and reported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rPr>
                <w:rStyle w:val="SpecialBold"/>
              </w:rPr>
              <w:t xml:space="preserve">Pack up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Crane boom/jib, lifting gear and associated equipment are stowed and secured as required in accordance with manufacturer requireme</w:t>
            </w:r>
            <w:r w:rsidRPr="00FD3C89">
              <w:t>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Crane fly jib and counterweight are removed to storage position and secured as required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Relevant motion locks and brakes are applied as required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Outriggers are stowed and secured in accordance with manufacturer requirements and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Crane is sh</w:t>
            </w:r>
            <w:r w:rsidRPr="00FD3C89">
              <w:t>ut down and secured to prevent unauthorised access/use in accordance with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t>Plates or packing are stowed and secured in accordance with safe work procedures</w:t>
            </w:r>
          </w:p>
        </w:tc>
      </w:tr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C89">
            <w:pPr>
              <w:pStyle w:val="BodyText"/>
              <w:rPr>
                <w:lang w:val="en-NZ"/>
              </w:rPr>
            </w:pPr>
            <w:r w:rsidRPr="00FD3C89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Shutdown crane checks are carried out in accordance with safe work procedures and manufacturer requirements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7" w:name="O_1205318"/>
      <w:bookmarkEnd w:id="7"/>
      <w:r w:rsidRPr="00FD3C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Foundation skills essential to performance are explicit in the performance criteria of this unit of competency.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8" w:name="O_1205319"/>
      <w:bookmarkEnd w:id="8"/>
      <w:r w:rsidRPr="00FD3C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Range is restricted to essential operating conditions and any other variables essential to the work en</w:t>
            </w:r>
            <w:r w:rsidRPr="00FD3C89">
              <w:t>vironment.</w:t>
            </w:r>
          </w:p>
          <w:p w:rsidR="00000000" w:rsidRPr="00FD3C89" w:rsidP="00FD3C89">
            <w:pPr>
              <w:pStyle w:val="BodyText"/>
            </w:pPr>
            <w:r w:rsidRPr="00FD3C89">
              <w:t>Non-essential conditions may be found in the TLI Transport and Logistics Training Package Companion Volume Implementation Guide.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9" w:name="O_1205320"/>
      <w:bookmarkEnd w:id="9"/>
      <w:r w:rsidRPr="00FD3C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C89" w:rsidP="00FD3C89">
            <w:pPr>
              <w:pStyle w:val="BodyText"/>
            </w:pPr>
            <w:r w:rsidRPr="00FD3C89">
              <w:t>This unit replaces and is equivalent to TLILIC0015 Licence to operate a slewing mobile crane (over 100 Tonnes)</w:t>
            </w:r>
          </w:p>
        </w:tc>
      </w:tr>
    </w:tbl>
    <w:p w:rsidR="0050548C" w:rsidP="00FD3C89">
      <w:pPr>
        <w:pStyle w:val="NoPaddingFontSize1"/>
      </w:pPr>
    </w:p>
    <w:p w:rsidR="0050548C" w:rsidP="00FD3C89">
      <w:pPr>
        <w:pStyle w:val="NoPaddingFontSize1"/>
      </w:pPr>
    </w:p>
    <w:p w:rsidR="00000000" w:rsidRPr="00FD3C89" w:rsidP="00FD3C89">
      <w:pPr>
        <w:pStyle w:val="Heading1"/>
      </w:pPr>
      <w:bookmarkStart w:id="10" w:name="O_1205327"/>
      <w:bookmarkEnd w:id="10"/>
      <w:r w:rsidRPr="00FD3C89">
        <w:t>Links</w:t>
      </w:r>
    </w:p>
    <w:p w:rsidR="00000000" w:rsidRPr="00FD3C89" w:rsidP="0050548C">
      <w:pPr>
        <w:pStyle w:val="BodyText"/>
      </w:pPr>
      <w:r w:rsidRPr="00FD3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7D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3C89" w:rsidP="00FD3C89"/>
    <w:sectPr w:rsidSect="00FD3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89" w:rsidRPr="0050548C" w:rsidP="00505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8C" w:rsidP="00FD3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548C" w:rsidP="00FD3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548C" w:rsidP="00FD3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C89" w:rsidRPr="0050548C" w:rsidP="00505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8C" w:rsidRPr="002D2AF8" w:rsidP="00FD3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TLILIC0020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0548C" w:rsidP="00FD3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1E9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E0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C89"/>
  </w:style>
  <w:style w:type="character" w:customStyle="1" w:styleId="Heading1Char">
    <w:name w:val="Heading 1 Char"/>
    <w:basedOn w:val="DefaultParagraphFont"/>
    <w:link w:val="Heading1"/>
    <w:rsid w:val="00FD3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C89"/>
    <w:rPr>
      <w:b/>
      <w:spacing w:val="0"/>
    </w:rPr>
  </w:style>
  <w:style w:type="paragraph" w:customStyle="1" w:styleId="SuperHeading">
    <w:name w:val="SuperHeading"/>
    <w:basedOn w:val="Normal"/>
    <w:rsid w:val="00FD3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C89"/>
    <w:rPr>
      <w:i/>
    </w:rPr>
  </w:style>
  <w:style w:type="paragraph" w:styleId="Caption">
    <w:name w:val="caption"/>
    <w:basedOn w:val="BodyText"/>
    <w:next w:val="Normal"/>
    <w:qFormat/>
    <w:rsid w:val="00FD3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C89"/>
  </w:style>
  <w:style w:type="paragraph" w:styleId="TableofFigures">
    <w:name w:val="table of figures"/>
    <w:basedOn w:val="Normal"/>
    <w:next w:val="Normal"/>
    <w:semiHidden/>
    <w:rsid w:val="00FD3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C89"/>
    <w:rPr>
      <w:rFonts w:ascii="Wingdings" w:hAnsi="Wingdings"/>
    </w:rPr>
  </w:style>
  <w:style w:type="paragraph" w:customStyle="1" w:styleId="TableHeading">
    <w:name w:val="Table Heading"/>
    <w:basedOn w:val="HeadingBase"/>
    <w:rsid w:val="00FD3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C89"/>
    <w:rPr>
      <w:color w:val="0033CC"/>
      <w:u w:val="none"/>
    </w:rPr>
  </w:style>
  <w:style w:type="paragraph" w:customStyle="1" w:styleId="BodyTextRight">
    <w:name w:val="Body Text Right"/>
    <w:basedOn w:val="BodyText"/>
    <w:rsid w:val="00FD3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C89"/>
    <w:rPr>
      <w:sz w:val="32"/>
    </w:rPr>
  </w:style>
  <w:style w:type="paragraph" w:customStyle="1" w:styleId="HeadingProcedure">
    <w:name w:val="Heading Procedure"/>
    <w:basedOn w:val="HeadingBase"/>
    <w:next w:val="Normal"/>
    <w:rsid w:val="00FD3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C89"/>
    <w:pPr>
      <w:spacing w:before="60" w:after="60"/>
    </w:pPr>
  </w:style>
  <w:style w:type="paragraph" w:styleId="ListContinue">
    <w:name w:val="List Continue"/>
    <w:basedOn w:val="List"/>
    <w:rsid w:val="00FD3C89"/>
    <w:pPr>
      <w:ind w:firstLine="0"/>
    </w:pPr>
  </w:style>
  <w:style w:type="paragraph" w:customStyle="1" w:styleId="ListNote">
    <w:name w:val="List Note"/>
    <w:basedOn w:val="List"/>
    <w:rsid w:val="00FD3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C89"/>
    <w:rPr>
      <w:rFonts w:ascii="Courier New" w:hAnsi="Courier New"/>
    </w:rPr>
  </w:style>
  <w:style w:type="paragraph" w:customStyle="1" w:styleId="NoteBullet">
    <w:name w:val="Note Bullet"/>
    <w:basedOn w:val="Note"/>
    <w:rsid w:val="00FD3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C89"/>
    <w:rPr>
      <w:b/>
      <w:smallCaps/>
    </w:rPr>
  </w:style>
  <w:style w:type="paragraph" w:customStyle="1" w:styleId="TableListNumber">
    <w:name w:val="Table List Number"/>
    <w:basedOn w:val="ListNumber"/>
    <w:rsid w:val="00FD3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C89"/>
    <w:pPr>
      <w:numPr>
        <w:numId w:val="8"/>
      </w:numPr>
    </w:pPr>
  </w:style>
  <w:style w:type="paragraph" w:customStyle="1" w:styleId="ListAlpha2">
    <w:name w:val="List Alpha 2"/>
    <w:basedOn w:val="List2"/>
    <w:rsid w:val="00FD3C89"/>
    <w:pPr>
      <w:numPr>
        <w:numId w:val="7"/>
      </w:numPr>
    </w:pPr>
  </w:style>
  <w:style w:type="paragraph" w:styleId="List2">
    <w:name w:val="List 2"/>
    <w:basedOn w:val="BodyText"/>
    <w:rsid w:val="00FD3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C89"/>
    <w:pPr>
      <w:numPr>
        <w:numId w:val="3"/>
      </w:numPr>
    </w:pPr>
  </w:style>
  <w:style w:type="paragraph" w:styleId="ListContinue2">
    <w:name w:val="List Continue 2"/>
    <w:basedOn w:val="List2"/>
    <w:rsid w:val="00FD3C89"/>
    <w:pPr>
      <w:ind w:firstLine="0"/>
    </w:pPr>
  </w:style>
  <w:style w:type="paragraph" w:styleId="ListContinue3">
    <w:name w:val="List Continue 3"/>
    <w:basedOn w:val="List3"/>
    <w:rsid w:val="00FD3C89"/>
    <w:pPr>
      <w:ind w:left="1021" w:firstLine="0"/>
    </w:pPr>
  </w:style>
  <w:style w:type="paragraph" w:styleId="ListContinue4">
    <w:name w:val="List Continue 4"/>
    <w:basedOn w:val="List4"/>
    <w:rsid w:val="00FD3C89"/>
    <w:pPr>
      <w:ind w:firstLine="0"/>
    </w:pPr>
  </w:style>
  <w:style w:type="paragraph" w:styleId="ListContinue5">
    <w:name w:val="List Continue 5"/>
    <w:basedOn w:val="List5"/>
    <w:rsid w:val="00FD3C89"/>
    <w:pPr>
      <w:ind w:firstLine="0"/>
    </w:pPr>
  </w:style>
  <w:style w:type="paragraph" w:styleId="ListNumber3">
    <w:name w:val="List Number 3"/>
    <w:basedOn w:val="List3"/>
    <w:rsid w:val="00FD3C89"/>
    <w:pPr>
      <w:numPr>
        <w:numId w:val="4"/>
      </w:numPr>
    </w:pPr>
  </w:style>
  <w:style w:type="paragraph" w:styleId="ListNumber4">
    <w:name w:val="List Number 4"/>
    <w:basedOn w:val="List4"/>
    <w:rsid w:val="00FD3C89"/>
    <w:pPr>
      <w:numPr>
        <w:numId w:val="5"/>
      </w:numPr>
    </w:pPr>
  </w:style>
  <w:style w:type="paragraph" w:styleId="ListNumber5">
    <w:name w:val="List Number 5"/>
    <w:basedOn w:val="List5"/>
    <w:rsid w:val="00FD3C89"/>
    <w:pPr>
      <w:numPr>
        <w:numId w:val="6"/>
      </w:numPr>
    </w:pPr>
  </w:style>
  <w:style w:type="paragraph" w:styleId="BlockText">
    <w:name w:val="Block Text"/>
    <w:basedOn w:val="Normal"/>
    <w:rsid w:val="00FD3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C89"/>
    <w:rPr>
      <w:sz w:val="16"/>
      <w:vertAlign w:val="superscript"/>
    </w:rPr>
  </w:style>
  <w:style w:type="character" w:customStyle="1" w:styleId="Symbols">
    <w:name w:val="Symbols"/>
    <w:basedOn w:val="DefaultParagraphFont"/>
    <w:rsid w:val="00FD3C89"/>
    <w:rPr>
      <w:rFonts w:ascii="Symbol" w:hAnsi="Symbol"/>
    </w:rPr>
  </w:style>
  <w:style w:type="character" w:customStyle="1" w:styleId="MenuOptions">
    <w:name w:val="Menu Options"/>
    <w:basedOn w:val="DefaultParagraphFont"/>
    <w:rsid w:val="00FD3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C89"/>
    <w:rPr>
      <w:b/>
    </w:rPr>
  </w:style>
  <w:style w:type="character" w:customStyle="1" w:styleId="Underlined">
    <w:name w:val="Underlined"/>
    <w:basedOn w:val="DefaultParagraphFont"/>
    <w:rsid w:val="00FD3C89"/>
    <w:rPr>
      <w:u w:val="single"/>
    </w:rPr>
  </w:style>
  <w:style w:type="paragraph" w:customStyle="1" w:styleId="TableBodyTextRight">
    <w:name w:val="Table Body Text Right"/>
    <w:basedOn w:val="TableBodyText"/>
    <w:rsid w:val="00FD3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C89"/>
    <w:rPr>
      <w:sz w:val="18"/>
    </w:rPr>
  </w:style>
  <w:style w:type="paragraph" w:customStyle="1" w:styleId="BodySmallRight">
    <w:name w:val="Body Small Right"/>
    <w:basedOn w:val="BodyTextRight"/>
    <w:rsid w:val="00FD3C89"/>
    <w:rPr>
      <w:sz w:val="18"/>
      <w:szCs w:val="18"/>
    </w:rPr>
  </w:style>
  <w:style w:type="paragraph" w:customStyle="1" w:styleId="MarginEdition">
    <w:name w:val="Margin Edition"/>
    <w:basedOn w:val="MarginNote"/>
    <w:rsid w:val="00FD3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C89"/>
    <w:rPr>
      <w:sz w:val="2"/>
      <w:szCs w:val="2"/>
    </w:rPr>
  </w:style>
  <w:style w:type="character" w:customStyle="1" w:styleId="Small">
    <w:name w:val="Small"/>
    <w:basedOn w:val="DefaultParagraphFont"/>
    <w:rsid w:val="00FD3C89"/>
    <w:rPr>
      <w:sz w:val="16"/>
    </w:rPr>
  </w:style>
  <w:style w:type="paragraph" w:customStyle="1" w:styleId="WideTable">
    <w:name w:val="Wide Table"/>
    <w:basedOn w:val="Normal"/>
    <w:rsid w:val="00FD3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C89"/>
  </w:style>
  <w:style w:type="paragraph" w:styleId="Quote">
    <w:name w:val="Quote"/>
    <w:basedOn w:val="Heading1"/>
    <w:link w:val="QuoteChar"/>
    <w:qFormat/>
    <w:rsid w:val="00FD3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C89"/>
    <w:pPr>
      <w:pageBreakBefore/>
    </w:pPr>
  </w:style>
  <w:style w:type="paragraph" w:customStyle="1" w:styleId="Border">
    <w:name w:val="Border"/>
    <w:basedOn w:val="Normal"/>
    <w:qFormat/>
    <w:rsid w:val="00FD3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C89"/>
    <w:rPr>
      <w:u w:val="single"/>
    </w:rPr>
  </w:style>
  <w:style w:type="character" w:customStyle="1" w:styleId="BoldandItalics">
    <w:name w:val="Bold and Italics"/>
    <w:qFormat/>
    <w:rsid w:val="00FD3C89"/>
    <w:rPr>
      <w:b/>
      <w:i/>
      <w:u w:val="none"/>
    </w:rPr>
  </w:style>
  <w:style w:type="paragraph" w:styleId="BalloonText">
    <w:name w:val="Balloon Text"/>
    <w:basedOn w:val="Normal"/>
    <w:link w:val="BalloonTextChar"/>
    <w:rsid w:val="00FD3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C89"/>
    <w:pPr>
      <w:spacing w:before="0" w:after="0"/>
    </w:pPr>
  </w:style>
  <w:style w:type="paragraph" w:customStyle="1" w:styleId="BodyTextBold">
    <w:name w:val="Body Text Bold"/>
    <w:basedOn w:val="BodyText"/>
    <w:qFormat/>
    <w:rsid w:val="00FD3C89"/>
    <w:rPr>
      <w:b/>
    </w:rPr>
  </w:style>
  <w:style w:type="character" w:styleId="Hyperlink">
    <w:name w:val="Hyperlink"/>
    <w:basedOn w:val="DefaultParagraphFont"/>
    <w:uiPriority w:val="99"/>
    <w:unhideWhenUsed/>
    <w:rsid w:val="00505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1316</Words>
  <Characters>7504</Characters>
  <Application>Microsoft Office Word</Application>
  <DocSecurity>0</DocSecurity>
  <Lines>341</Lines>
  <Paragraphs>160</Paragraphs>
  <ScaleCrop>false</ScaleCrop>
  <Company>Author-it Software Corporation Ltd.</Company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TLILIC0020 Licence to operate a slewing mobile crane (over 100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