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455" w:rsidP="005F7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TLILIC0015 Licence to operate a slewing mobile crane (over 100 Tonnes)</w:t>
      </w:r>
      <w:r>
        <w:fldChar w:fldCharType="end"/>
      </w:r>
    </w:p>
    <w:p w:rsidR="005F7455" w:rsidP="005F7455">
      <w:pPr>
        <w:pStyle w:val="Version"/>
        <w:sectPr w:rsidSect="004D6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6C89" w:rsidP="004D6C89">
      <w:pPr>
        <w:pStyle w:val="SuperHeading"/>
      </w:pPr>
      <w:r w:rsidRPr="004D6C89">
        <w:t>TLILIC0015 Licence to operate a slewing mobile crane (over 100 Tonnes)</w:t>
      </w:r>
    </w:p>
    <w:p w:rsidR="00000000" w:rsidRPr="004D6C89" w:rsidP="004D6C89">
      <w:pPr>
        <w:pStyle w:val="Heading1"/>
      </w:pPr>
      <w:bookmarkStart w:id="1" w:name="O_1063303"/>
      <w:bookmarkEnd w:id="1"/>
      <w:r w:rsidRPr="004D6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Release 2. This is the second release of this unit of competency in the TLI Transport and Logistics Training Package:</w:t>
            </w:r>
          </w:p>
          <w:p w:rsidR="00000000" w:rsidRPr="004D6C89" w:rsidP="004D6C89">
            <w:pPr>
              <w:pStyle w:val="ListBullet"/>
            </w:pPr>
            <w:r w:rsidRPr="004D6C89">
              <w:t>Minor state</w:t>
            </w:r>
            <w:r w:rsidRPr="004D6C89">
              <w:t>ment changes in unit Application</w:t>
            </w:r>
          </w:p>
          <w:p w:rsidR="00000000" w:rsidP="004D6C89">
            <w:pPr>
              <w:pStyle w:val="ListBullet"/>
              <w:rPr>
                <w:lang w:val="en-NZ"/>
              </w:rPr>
            </w:pPr>
            <w:r w:rsidRPr="004D6C89">
              <w:t>Minor statement changes in Assessment Conditions.</w:t>
            </w:r>
          </w:p>
        </w:tc>
      </w:tr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Release 1. This is the first release of this unit of competency in the TLI Transport and Logistics Training Package.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2" w:name="O_1063302"/>
      <w:bookmarkEnd w:id="2"/>
      <w:r w:rsidRPr="004D6C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This unit specifies th</w:t>
            </w:r>
            <w:r w:rsidRPr="004D6C89">
              <w:t>e skills and knowledge required to safely operate a slewing mobile crane with a maximum rated capacity (MRC) over 100 tonnes, in accordance with all relevant legislative responsibilities. Competence in this unit, does not in itself result in a High Risk Wo</w:t>
            </w:r>
            <w:r w:rsidRPr="004D6C89">
              <w:t>rk Licence (HRWL) to operate this plant.</w:t>
            </w:r>
          </w:p>
          <w:p w:rsidR="00000000" w:rsidRPr="004D6C89" w:rsidP="004D6C89">
            <w:pPr>
              <w:pStyle w:val="BodyText"/>
            </w:pPr>
            <w:r w:rsidRPr="004D6C89">
              <w:t xml:space="preserve">A person undertaking this unit must hold: </w:t>
            </w:r>
          </w:p>
          <w:p w:rsidR="00000000" w:rsidRPr="004D6C89" w:rsidP="004D6C89">
            <w:pPr>
              <w:pStyle w:val="ListBullet"/>
            </w:pPr>
            <w:r w:rsidRPr="004D6C89">
              <w:t xml:space="preserve">a current National HRWL to perform dogging or a current certification for a specific VET course for HRWL to perform dogging that has been issued by, or on behalf of a WHS </w:t>
            </w:r>
            <w:r w:rsidRPr="004D6C89">
              <w:t>Regulator</w:t>
            </w:r>
          </w:p>
          <w:p w:rsidR="00000000" w:rsidRPr="004D6C89" w:rsidP="004D6C89">
            <w:pPr>
              <w:pStyle w:val="ListBullet"/>
            </w:pPr>
            <w:r w:rsidRPr="004D6C89">
              <w:t>a current National HRWL to operate a Slewing Mobile crane (up to 60 Tonnes), and current industry experience operating a slewing mobile crane of greater than 20t and up to 60t competently for at least 2 years.</w:t>
            </w:r>
          </w:p>
          <w:p w:rsidR="00000000" w:rsidRPr="004D6C89" w:rsidP="004D6C89">
            <w:pPr>
              <w:pStyle w:val="BodyText"/>
            </w:pPr>
            <w:r w:rsidRPr="004D6C89">
              <w:t>Slewing mobile crane means a mobile crane incorporating a boom or jib that can be slewed, but does not include:</w:t>
            </w:r>
          </w:p>
          <w:p w:rsidR="00000000" w:rsidRPr="004D6C89" w:rsidP="004D6C89">
            <w:pPr>
              <w:pStyle w:val="ListBullet"/>
            </w:pPr>
            <w:r w:rsidRPr="004D6C89">
              <w:t>a front-end loader or</w:t>
            </w:r>
          </w:p>
          <w:p w:rsidR="00000000" w:rsidRPr="004D6C89" w:rsidP="004D6C89">
            <w:pPr>
              <w:pStyle w:val="ListBullet"/>
            </w:pPr>
            <w:r w:rsidRPr="004D6C89">
              <w:t>a backhoe or</w:t>
            </w:r>
          </w:p>
          <w:p w:rsidR="00000000" w:rsidRPr="004D6C89" w:rsidP="004D6C89">
            <w:pPr>
              <w:pStyle w:val="ListBullet"/>
            </w:pPr>
            <w:r w:rsidRPr="004D6C89">
              <w:t>an excavator or</w:t>
            </w:r>
          </w:p>
          <w:p w:rsidR="00000000" w:rsidRPr="004D6C89" w:rsidP="004D6C89">
            <w:pPr>
              <w:pStyle w:val="ListBullet"/>
            </w:pPr>
            <w:r w:rsidRPr="004D6C89">
              <w:t>other earth moving equipment, when configured for crane operation.</w:t>
            </w:r>
          </w:p>
          <w:p w:rsidR="00000000" w:rsidRPr="004D6C89" w:rsidP="004D6C89">
            <w:pPr>
              <w:pStyle w:val="BodyText"/>
            </w:pPr>
            <w:r w:rsidRPr="004D6C89">
              <w:t xml:space="preserve">A person performing this </w:t>
            </w:r>
            <w:r w:rsidRPr="004D6C89">
              <w:t>work is required to hold a slewing mobile crane with an MRC over 100 tonnes HRWL.</w:t>
            </w:r>
          </w:p>
          <w:p w:rsidR="00000000" w:rsidRPr="004D6C89" w:rsidP="004D6C89">
            <w:pPr>
              <w:pStyle w:val="BodyText"/>
            </w:pPr>
            <w:r w:rsidRPr="004D6C89">
              <w:t>This unit requires a person operating a slewing mobile crane with an MRC over 100 tonnes to:</w:t>
            </w:r>
          </w:p>
          <w:p w:rsidR="00000000" w:rsidRPr="004D6C89" w:rsidP="004D6C89">
            <w:pPr>
              <w:pStyle w:val="ListBullet"/>
            </w:pPr>
            <w:r w:rsidRPr="004D6C89">
              <w:t>plan for the work/task</w:t>
            </w:r>
          </w:p>
          <w:p w:rsidR="00000000" w:rsidRPr="004D6C89" w:rsidP="004D6C89">
            <w:pPr>
              <w:pStyle w:val="ListBullet"/>
            </w:pPr>
            <w:r w:rsidRPr="004D6C89">
              <w:t>prepare for the work/task</w:t>
            </w:r>
          </w:p>
          <w:p w:rsidR="00000000" w:rsidRPr="004D6C89" w:rsidP="004D6C89">
            <w:pPr>
              <w:pStyle w:val="ListBullet"/>
            </w:pPr>
            <w:r w:rsidRPr="004D6C89">
              <w:t xml:space="preserve">perform work/task </w:t>
            </w:r>
          </w:p>
          <w:p w:rsidR="00000000" w:rsidRPr="004D6C89" w:rsidP="004D6C89">
            <w:pPr>
              <w:pStyle w:val="ListBullet"/>
            </w:pPr>
            <w:r w:rsidRPr="004D6C89">
              <w:t>pack up</w:t>
            </w:r>
          </w:p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Lice</w:t>
            </w:r>
            <w:r w:rsidRPr="004D6C89">
              <w:rPr>
                <w:rStyle w:val="SpecialBold"/>
              </w:rPr>
              <w:t>nsing/Regulatory Information</w:t>
            </w:r>
          </w:p>
          <w:p w:rsidR="00000000" w:rsidRPr="004D6C89" w:rsidP="004D6C89">
            <w:pPr>
              <w:pStyle w:val="BodyText"/>
            </w:pPr>
            <w:r w:rsidRPr="004D6C89">
              <w:t xml:space="preserve">Legislative and regulatory requirements are applicable to this unit of competency. </w:t>
            </w:r>
          </w:p>
          <w:p w:rsidR="00000000" w:rsidRPr="004D6C89" w:rsidP="004D6C89">
            <w:pPr>
              <w:pStyle w:val="BodyText"/>
            </w:pPr>
            <w:r w:rsidRPr="004D6C89">
              <w:t>This unit is based on the licensing requirements of Part 4.5 of the Model Work Health and Safety (WHS) Regulations and meets Commonwealth, Stat</w:t>
            </w:r>
            <w:r w:rsidRPr="004D6C89">
              <w:t xml:space="preserve">e and Territory HRWL requirements. </w:t>
            </w:r>
          </w:p>
          <w:p w:rsidR="00000000" w:rsidRPr="004D6C89" w:rsidP="004D6C89">
            <w:pPr>
              <w:pStyle w:val="BodyText"/>
            </w:pPr>
            <w:r w:rsidRPr="004D6C89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3" w:name="O_1063301"/>
      <w:bookmarkEnd w:id="3"/>
      <w:r w:rsidRPr="004D6C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Not applicable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4" w:name="O_1063300"/>
      <w:bookmarkEnd w:id="4"/>
      <w:r w:rsidRPr="004D6C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LIC - Licencing Units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5" w:name="O_1063299"/>
      <w:bookmarkEnd w:id="5"/>
      <w:r w:rsidRPr="004D6C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Not applicable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6" w:name="O_1063298"/>
      <w:bookmarkEnd w:id="6"/>
      <w:r w:rsidRPr="004D6C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PERFORMANCE CRITERIA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Performance criteria describe the performance needed to demonstrate achievement of the element.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Task requirements are identified from work orders or equivalent and a lift plan is confirmed with associated personnel and a site inspect</w:t>
            </w:r>
            <w:r w:rsidRPr="004D6C89">
              <w:t>ion is conducted in accordance with workplace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Work area operating surface is confirmed to determine the quality of ground suitability for operational use of mobile crane in accordance with workplace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Mobile crane rated capacity (RC) and the lifting gear Working Load Limit (WLL) are established for the load/s and work/task requirements in accordance with manufacturer requirements and workplace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Appropriate paths for operating the mobil</w:t>
            </w:r>
            <w:r w:rsidRPr="004D6C89">
              <w:t xml:space="preserve">e crane and moving and placing load/s in work area are assessed and determined in accordance with workplace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Relevant hazard identification and risk </w:t>
            </w:r>
            <w:r w:rsidRPr="004D6C89">
              <w:t xml:space="preserve">elimination/control measures are applied and advised to associated personnel in accordance with workplace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Traffic management plan implementation is confirmed and followed in accordance with workpla</w:t>
            </w:r>
            <w:r w:rsidRPr="004D6C89">
              <w:t xml:space="preserve">ce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Appropriate communication procedures are identified and tested with associated personnel in accordance with workplace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All tasks are confirmed to ensure requirements for the relevant work area in accordance with a lift plan and workplace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Consultation with workplace personnel is established and maintained to ensure lift plan is clear and consistent with site requirements in accordance with a lift plan and workplace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Risk control measures for hazards identified are checked f</w:t>
            </w:r>
            <w:r w:rsidRPr="004D6C89">
              <w:t>or implementation in accordance with the lift plan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Mobile crane is accessed safely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Mobile crane is set up correctly with any lifting gear and stabilised as per the lift plan in accordance with relevant manufacturer requirements including load chart/s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Counterweight/s are set up as required in accordance wit</w:t>
            </w:r>
            <w:r w:rsidRPr="004D6C89">
              <w:t>h the lift plan, relevant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Fly jib and/or luffing fly are set up as required in accordance with specific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Crane logbook is checked to confirm current compliance, is cor</w:t>
            </w:r>
            <w:r w:rsidRPr="004D6C89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Weather and work environment conditions are assessed to determine any impact o</w:t>
            </w:r>
            <w:r w:rsidRPr="004D6C89">
              <w:t>n mobile crane operations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Lifts are determined within the RC of the mobile crane in accordance with the load chart/s and lift plan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Boom/jib and hook block is safely positioned over the load following directions from associated personnel in accordance with the lift plan and safe work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Main and/or auxiliary hook including any lifting gear, where required are connected </w:t>
            </w:r>
            <w:r w:rsidRPr="004D6C89">
              <w:t>to the load and used safely in accordance with the lift plan, safe work procedures and manufacturer requirements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Test lift is carried out in accordance with dogging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Loads are transferred using relevant crane movements and tag lines as required, in accordance with lift plan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Load and crane movement is monitored constantly and crane is operated safely in accordance with lift plan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All required communication signals are correctly interpreted and followed whilst crane is operated in accordance with </w:t>
            </w:r>
            <w:r w:rsidRPr="004D6C89">
              <w:t xml:space="preserve">the lift plan and safe work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Load is lowered and landed safely in accordance with lift plan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Crane boom/jib, lifting gear and associated equipment is stowed and secured as required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Crane fly jib and counterweight is removed to storage position and secured as required in a</w:t>
            </w:r>
            <w:r w:rsidRPr="004D6C89">
              <w:t>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Relevant motion locks and brakes are applied as required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Outriggers are stowed and secured in accordance with manufacturer requirements and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Crane is shut down and secured to prevent unauthorised access/use in accordance with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t>Plates or packing are stowed and secured in accordance with safe work procedures</w:t>
            </w:r>
          </w:p>
        </w:tc>
      </w:tr>
      <w:tr w:rsidTr="004D6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89">
            <w:pPr>
              <w:pStyle w:val="BodyText"/>
              <w:rPr>
                <w:lang w:val="en-NZ"/>
              </w:rPr>
            </w:pPr>
            <w:r w:rsidRPr="004D6C89">
              <w:rPr>
                <w:rStyle w:val="SpecialBold"/>
              </w:rPr>
              <w:t>4.7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Shut down crane checks are carried out in accordance with safe work procedures and manufacturer requirements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7" w:name="O_1063297"/>
      <w:bookmarkEnd w:id="7"/>
      <w:r w:rsidRPr="004D6C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Foundation skills essential to performance are explicit in the performance criteria of this unit of competency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8" w:name="O_1063296"/>
      <w:bookmarkEnd w:id="8"/>
      <w:r w:rsidRPr="004D6C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Range is restricted to essential operating conditions and any other variables essential to the work environment.</w:t>
            </w:r>
          </w:p>
          <w:p w:rsidR="00000000" w:rsidRPr="004D6C89" w:rsidP="004D6C89">
            <w:pPr>
              <w:pStyle w:val="BodyText"/>
            </w:pPr>
            <w:r w:rsidRPr="004D6C89">
              <w:t>Non -essential conditions may be found in the Companion Volume Implementation Guide.</w:t>
            </w:r>
          </w:p>
        </w:tc>
      </w:tr>
    </w:tbl>
    <w:p w:rsidR="00000000" w:rsidRPr="004D6C89" w:rsidP="004D6C89">
      <w:pPr>
        <w:pStyle w:val="NoPaddingFontSize1"/>
      </w:pPr>
    </w:p>
    <w:p w:rsidR="00000000" w:rsidRPr="004D6C89" w:rsidP="004D6C89">
      <w:pPr>
        <w:pStyle w:val="AllowPageBreak"/>
      </w:pPr>
    </w:p>
    <w:p w:rsidR="00000000" w:rsidRPr="004D6C89" w:rsidP="004D6C89">
      <w:pPr>
        <w:pStyle w:val="Heading1"/>
      </w:pPr>
      <w:bookmarkStart w:id="9" w:name="O_1063295"/>
      <w:bookmarkEnd w:id="9"/>
      <w:r w:rsidRPr="004D6C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89" w:rsidP="004D6C89">
            <w:pPr>
              <w:pStyle w:val="BodyText"/>
            </w:pPr>
            <w:r w:rsidRPr="004D6C89">
              <w:t>This unit re</w:t>
            </w:r>
            <w:r w:rsidRPr="004D6C89">
              <w:t>places and is equivalent to TLILIC4011 Licence to operate a slewing mobile crane (over 100 tonnes)</w:t>
            </w:r>
          </w:p>
        </w:tc>
      </w:tr>
    </w:tbl>
    <w:p w:rsidR="005F7455" w:rsidP="004D6C89">
      <w:pPr>
        <w:pStyle w:val="NoPaddingFontSize1"/>
      </w:pPr>
    </w:p>
    <w:p w:rsidR="005F7455" w:rsidP="004D6C89">
      <w:pPr>
        <w:pStyle w:val="NoPaddingFontSize1"/>
      </w:pPr>
    </w:p>
    <w:p w:rsidR="00000000" w:rsidRPr="004D6C89" w:rsidP="004D6C89">
      <w:pPr>
        <w:pStyle w:val="Heading1"/>
      </w:pPr>
      <w:bookmarkStart w:id="10" w:name="O_1063304"/>
      <w:bookmarkEnd w:id="10"/>
      <w:r w:rsidRPr="004D6C89">
        <w:t>Links</w:t>
      </w:r>
    </w:p>
    <w:p w:rsidR="00000000" w:rsidRPr="004D6C89" w:rsidP="005F7455">
      <w:pPr>
        <w:pStyle w:val="BodyText"/>
      </w:pPr>
      <w:r w:rsidRPr="004D6C8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6F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6C89" w:rsidP="004D6C89"/>
    <w:sectPr w:rsidSect="004D6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89" w:rsidRPr="005F7455" w:rsidP="005F7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55" w:rsidP="004D6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455" w:rsidP="004D6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7455" w:rsidP="004D6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C89" w:rsidRPr="005F7455" w:rsidP="005F7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55" w:rsidRPr="002D2AF8" w:rsidP="004D6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TLILIC0015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F7455" w:rsidP="004D6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67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42F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C89"/>
  </w:style>
  <w:style w:type="character" w:customStyle="1" w:styleId="Heading1Char">
    <w:name w:val="Heading 1 Char"/>
    <w:basedOn w:val="DefaultParagraphFont"/>
    <w:link w:val="Heading1"/>
    <w:rsid w:val="004D6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C89"/>
    <w:rPr>
      <w:b/>
      <w:spacing w:val="0"/>
    </w:rPr>
  </w:style>
  <w:style w:type="paragraph" w:customStyle="1" w:styleId="SuperHeading">
    <w:name w:val="SuperHeading"/>
    <w:basedOn w:val="Normal"/>
    <w:rsid w:val="004D6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6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C89"/>
    <w:rPr>
      <w:i/>
    </w:rPr>
  </w:style>
  <w:style w:type="paragraph" w:styleId="Caption">
    <w:name w:val="caption"/>
    <w:basedOn w:val="BodyText"/>
    <w:next w:val="Normal"/>
    <w:qFormat/>
    <w:rsid w:val="004D6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C89"/>
  </w:style>
  <w:style w:type="paragraph" w:styleId="TableofFigures">
    <w:name w:val="table of figures"/>
    <w:basedOn w:val="Normal"/>
    <w:next w:val="Normal"/>
    <w:semiHidden/>
    <w:rsid w:val="004D6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C89"/>
    <w:rPr>
      <w:rFonts w:ascii="Wingdings" w:hAnsi="Wingdings"/>
    </w:rPr>
  </w:style>
  <w:style w:type="paragraph" w:customStyle="1" w:styleId="TableHeading">
    <w:name w:val="Table Heading"/>
    <w:basedOn w:val="HeadingBase"/>
    <w:rsid w:val="004D6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C89"/>
    <w:rPr>
      <w:color w:val="0033CC"/>
      <w:u w:val="none"/>
    </w:rPr>
  </w:style>
  <w:style w:type="paragraph" w:customStyle="1" w:styleId="BodyTextRight">
    <w:name w:val="Body Text Right"/>
    <w:basedOn w:val="BodyText"/>
    <w:rsid w:val="004D6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C89"/>
    <w:rPr>
      <w:sz w:val="32"/>
    </w:rPr>
  </w:style>
  <w:style w:type="paragraph" w:customStyle="1" w:styleId="HeadingProcedure">
    <w:name w:val="Heading Procedure"/>
    <w:basedOn w:val="HeadingBase"/>
    <w:next w:val="Normal"/>
    <w:rsid w:val="004D6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C89"/>
    <w:pPr>
      <w:spacing w:before="60" w:after="60"/>
    </w:pPr>
  </w:style>
  <w:style w:type="paragraph" w:styleId="ListContinue">
    <w:name w:val="List Continue"/>
    <w:basedOn w:val="List"/>
    <w:rsid w:val="004D6C89"/>
    <w:pPr>
      <w:ind w:firstLine="0"/>
    </w:pPr>
  </w:style>
  <w:style w:type="paragraph" w:customStyle="1" w:styleId="ListNote">
    <w:name w:val="List Note"/>
    <w:basedOn w:val="List"/>
    <w:rsid w:val="004D6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C89"/>
    <w:rPr>
      <w:rFonts w:ascii="Courier New" w:hAnsi="Courier New"/>
    </w:rPr>
  </w:style>
  <w:style w:type="paragraph" w:customStyle="1" w:styleId="NoteBullet">
    <w:name w:val="Note Bullet"/>
    <w:basedOn w:val="Note"/>
    <w:rsid w:val="004D6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C89"/>
    <w:rPr>
      <w:b/>
      <w:smallCaps/>
    </w:rPr>
  </w:style>
  <w:style w:type="paragraph" w:customStyle="1" w:styleId="TableListNumber">
    <w:name w:val="Table List Number"/>
    <w:basedOn w:val="ListNumber"/>
    <w:rsid w:val="004D6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C89"/>
    <w:pPr>
      <w:numPr>
        <w:numId w:val="8"/>
      </w:numPr>
    </w:pPr>
  </w:style>
  <w:style w:type="paragraph" w:customStyle="1" w:styleId="ListAlpha2">
    <w:name w:val="List Alpha 2"/>
    <w:basedOn w:val="List2"/>
    <w:rsid w:val="004D6C89"/>
    <w:pPr>
      <w:numPr>
        <w:numId w:val="7"/>
      </w:numPr>
    </w:pPr>
  </w:style>
  <w:style w:type="paragraph" w:styleId="List2">
    <w:name w:val="List 2"/>
    <w:basedOn w:val="BodyText"/>
    <w:rsid w:val="004D6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C89"/>
    <w:pPr>
      <w:numPr>
        <w:numId w:val="3"/>
      </w:numPr>
    </w:pPr>
  </w:style>
  <w:style w:type="paragraph" w:styleId="ListContinue2">
    <w:name w:val="List Continue 2"/>
    <w:basedOn w:val="List2"/>
    <w:rsid w:val="004D6C89"/>
    <w:pPr>
      <w:ind w:firstLine="0"/>
    </w:pPr>
  </w:style>
  <w:style w:type="paragraph" w:styleId="ListContinue3">
    <w:name w:val="List Continue 3"/>
    <w:basedOn w:val="List3"/>
    <w:rsid w:val="004D6C89"/>
    <w:pPr>
      <w:ind w:left="1021" w:firstLine="0"/>
    </w:pPr>
  </w:style>
  <w:style w:type="paragraph" w:styleId="ListContinue4">
    <w:name w:val="List Continue 4"/>
    <w:basedOn w:val="List4"/>
    <w:rsid w:val="004D6C89"/>
    <w:pPr>
      <w:ind w:firstLine="0"/>
    </w:pPr>
  </w:style>
  <w:style w:type="paragraph" w:styleId="ListContinue5">
    <w:name w:val="List Continue 5"/>
    <w:basedOn w:val="List5"/>
    <w:rsid w:val="004D6C89"/>
    <w:pPr>
      <w:ind w:firstLine="0"/>
    </w:pPr>
  </w:style>
  <w:style w:type="paragraph" w:styleId="ListNumber3">
    <w:name w:val="List Number 3"/>
    <w:basedOn w:val="List3"/>
    <w:rsid w:val="004D6C89"/>
    <w:pPr>
      <w:numPr>
        <w:numId w:val="4"/>
      </w:numPr>
    </w:pPr>
  </w:style>
  <w:style w:type="paragraph" w:styleId="ListNumber4">
    <w:name w:val="List Number 4"/>
    <w:basedOn w:val="List4"/>
    <w:rsid w:val="004D6C89"/>
    <w:pPr>
      <w:numPr>
        <w:numId w:val="5"/>
      </w:numPr>
    </w:pPr>
  </w:style>
  <w:style w:type="paragraph" w:styleId="ListNumber5">
    <w:name w:val="List Number 5"/>
    <w:basedOn w:val="List5"/>
    <w:rsid w:val="004D6C89"/>
    <w:pPr>
      <w:numPr>
        <w:numId w:val="6"/>
      </w:numPr>
    </w:pPr>
  </w:style>
  <w:style w:type="paragraph" w:styleId="BlockText">
    <w:name w:val="Block Text"/>
    <w:basedOn w:val="Normal"/>
    <w:rsid w:val="004D6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C89"/>
    <w:rPr>
      <w:sz w:val="16"/>
      <w:vertAlign w:val="superscript"/>
    </w:rPr>
  </w:style>
  <w:style w:type="character" w:customStyle="1" w:styleId="Symbols">
    <w:name w:val="Symbols"/>
    <w:basedOn w:val="DefaultParagraphFont"/>
    <w:rsid w:val="004D6C89"/>
    <w:rPr>
      <w:rFonts w:ascii="Symbol" w:hAnsi="Symbol"/>
    </w:rPr>
  </w:style>
  <w:style w:type="character" w:customStyle="1" w:styleId="MenuOptions">
    <w:name w:val="Menu Options"/>
    <w:basedOn w:val="DefaultParagraphFont"/>
    <w:rsid w:val="004D6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C89"/>
    <w:rPr>
      <w:b/>
    </w:rPr>
  </w:style>
  <w:style w:type="character" w:customStyle="1" w:styleId="Underlined">
    <w:name w:val="Underlined"/>
    <w:basedOn w:val="DefaultParagraphFont"/>
    <w:rsid w:val="004D6C89"/>
    <w:rPr>
      <w:u w:val="single"/>
    </w:rPr>
  </w:style>
  <w:style w:type="paragraph" w:customStyle="1" w:styleId="TableBodyTextRight">
    <w:name w:val="Table Body Text Right"/>
    <w:basedOn w:val="TableBodyText"/>
    <w:rsid w:val="004D6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C89"/>
    <w:rPr>
      <w:sz w:val="18"/>
    </w:rPr>
  </w:style>
  <w:style w:type="paragraph" w:customStyle="1" w:styleId="BodySmallRight">
    <w:name w:val="Body Small Right"/>
    <w:basedOn w:val="BodyTextRight"/>
    <w:rsid w:val="004D6C89"/>
    <w:rPr>
      <w:sz w:val="18"/>
      <w:szCs w:val="18"/>
    </w:rPr>
  </w:style>
  <w:style w:type="paragraph" w:customStyle="1" w:styleId="MarginEdition">
    <w:name w:val="Margin Edition"/>
    <w:basedOn w:val="MarginNote"/>
    <w:rsid w:val="004D6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C89"/>
    <w:rPr>
      <w:sz w:val="2"/>
      <w:szCs w:val="2"/>
    </w:rPr>
  </w:style>
  <w:style w:type="character" w:customStyle="1" w:styleId="Small">
    <w:name w:val="Small"/>
    <w:basedOn w:val="DefaultParagraphFont"/>
    <w:rsid w:val="004D6C89"/>
    <w:rPr>
      <w:sz w:val="16"/>
    </w:rPr>
  </w:style>
  <w:style w:type="paragraph" w:customStyle="1" w:styleId="WideTable">
    <w:name w:val="Wide Table"/>
    <w:basedOn w:val="Normal"/>
    <w:rsid w:val="004D6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C89"/>
  </w:style>
  <w:style w:type="paragraph" w:styleId="Quote">
    <w:name w:val="Quote"/>
    <w:basedOn w:val="Heading1"/>
    <w:link w:val="QuoteChar"/>
    <w:qFormat/>
    <w:rsid w:val="004D6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C89"/>
    <w:pPr>
      <w:pageBreakBefore/>
    </w:pPr>
  </w:style>
  <w:style w:type="paragraph" w:customStyle="1" w:styleId="Border">
    <w:name w:val="Border"/>
    <w:basedOn w:val="Normal"/>
    <w:qFormat/>
    <w:rsid w:val="004D6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C89"/>
    <w:rPr>
      <w:u w:val="single"/>
    </w:rPr>
  </w:style>
  <w:style w:type="character" w:customStyle="1" w:styleId="BoldandItalics">
    <w:name w:val="Bold and Italics"/>
    <w:qFormat/>
    <w:rsid w:val="004D6C89"/>
    <w:rPr>
      <w:b/>
      <w:i/>
      <w:u w:val="none"/>
    </w:rPr>
  </w:style>
  <w:style w:type="paragraph" w:styleId="BalloonText">
    <w:name w:val="Balloon Text"/>
    <w:basedOn w:val="Normal"/>
    <w:link w:val="BalloonTextChar"/>
    <w:rsid w:val="004D6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C89"/>
    <w:pPr>
      <w:spacing w:before="0" w:after="0"/>
    </w:pPr>
  </w:style>
  <w:style w:type="paragraph" w:customStyle="1" w:styleId="BodyTextBold">
    <w:name w:val="Body Text Bold"/>
    <w:basedOn w:val="BodyText"/>
    <w:qFormat/>
    <w:rsid w:val="004D6C89"/>
    <w:rPr>
      <w:b/>
    </w:rPr>
  </w:style>
  <w:style w:type="character" w:styleId="Hyperlink">
    <w:name w:val="Hyperlink"/>
    <w:basedOn w:val="DefaultParagraphFont"/>
    <w:uiPriority w:val="99"/>
    <w:unhideWhenUsed/>
    <w:rsid w:val="005F7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1299</Words>
  <Characters>7319</Characters>
  <Application>Microsoft Office Word</Application>
  <DocSecurity>0</DocSecurity>
  <Lines>318</Lines>
  <Paragraphs>151</Paragraphs>
  <ScaleCrop>false</ScaleCrop>
  <Company>Author-it Software Corporation Ltd.</Company>
  <LinksUpToDate>false</LinksUpToDate>
  <CharactersWithSpaces>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TLILIC0015 Licence to operate a slewing mobile crane (over 100 Tonnes)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2022-10-25T05:32:00Z</dcterms:created>
  <dcterms:modified xsi:type="dcterms:W3CDTF">2022-10-25T05:32:00Z</dcterms:modified>
</cp:coreProperties>
</file>