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EC3" w:rsidP="00EE7E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TLILIC0013 Licence to operate a slewing mobile crane (up to 60 tonnes)</w:t>
      </w:r>
      <w:r>
        <w:fldChar w:fldCharType="end"/>
      </w:r>
    </w:p>
    <w:p w:rsidR="00EE7EC3" w:rsidP="00EE7EC3">
      <w:pPr>
        <w:pStyle w:val="Version"/>
        <w:sectPr w:rsidSect="00A806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06C1" w:rsidP="00A806C1">
      <w:pPr>
        <w:pStyle w:val="SuperHeading"/>
      </w:pPr>
      <w:r w:rsidRPr="00A806C1">
        <w:t>TLILIC0013 Licence to operate a slewing mobile crane (up to 60 tonnes)</w:t>
      </w:r>
    </w:p>
    <w:p w:rsidR="00000000" w:rsidRPr="00A806C1" w:rsidP="00A806C1">
      <w:pPr>
        <w:pStyle w:val="Heading1"/>
      </w:pPr>
      <w:bookmarkStart w:id="1" w:name="O_1063267"/>
      <w:bookmarkEnd w:id="1"/>
      <w:r w:rsidRPr="00A806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0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t>Release 2. This is the second release of this unit of competency in the TLI Transport and Logistics Training Package:</w:t>
            </w:r>
          </w:p>
          <w:p w:rsidR="00000000" w:rsidRPr="00A806C1" w:rsidP="00A806C1">
            <w:pPr>
              <w:pStyle w:val="ListBullet"/>
            </w:pPr>
            <w:r w:rsidRPr="00A806C1">
              <w:t>Minor state</w:t>
            </w:r>
            <w:r w:rsidRPr="00A806C1">
              <w:t>ment changes in unit Application</w:t>
            </w:r>
          </w:p>
          <w:p w:rsidR="00000000" w:rsidP="00A806C1">
            <w:pPr>
              <w:pStyle w:val="ListBullet"/>
              <w:rPr>
                <w:lang w:val="en-NZ"/>
              </w:rPr>
            </w:pPr>
            <w:r w:rsidRPr="00A806C1">
              <w:t>Minor statement changes in Assessment Conditions.</w:t>
            </w:r>
          </w:p>
        </w:tc>
      </w:tr>
      <w:tr w:rsidTr="00A80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t xml:space="preserve">Release 1. This is a new release of this unit of competency in the TLI Transport and Logistics Training Package.  </w:t>
            </w:r>
          </w:p>
        </w:tc>
      </w:tr>
    </w:tbl>
    <w:p w:rsidR="00000000" w:rsidRPr="00A806C1" w:rsidP="00A806C1">
      <w:pPr>
        <w:pStyle w:val="NoPaddingFontSize1"/>
      </w:pPr>
    </w:p>
    <w:p w:rsidR="00000000" w:rsidRPr="00A806C1" w:rsidP="00A806C1">
      <w:pPr>
        <w:pStyle w:val="AllowPageBreak"/>
      </w:pPr>
    </w:p>
    <w:p w:rsidR="00000000" w:rsidRPr="00A806C1" w:rsidP="00A806C1">
      <w:pPr>
        <w:pStyle w:val="Heading1"/>
      </w:pPr>
      <w:bookmarkStart w:id="2" w:name="O_1063266"/>
      <w:bookmarkEnd w:id="2"/>
      <w:r w:rsidRPr="00A806C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0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t xml:space="preserve">This unit specifies the </w:t>
            </w:r>
            <w:r w:rsidRPr="00A806C1">
              <w:t>skills and knowledge required to safely operate a slewing mobile crane with a Maximum Rated Capacity (MRC) up to 60 tonnes, in accordance with all relevant legislative responsibilities. Competence in this unit, does not in itself result in a High Risk Work</w:t>
            </w:r>
            <w:r w:rsidRPr="00A806C1">
              <w:t xml:space="preserve"> Licence (HRWL) to operate this plant.</w:t>
            </w:r>
          </w:p>
          <w:p w:rsidR="00000000" w:rsidRPr="00A806C1" w:rsidP="00A806C1">
            <w:pPr>
              <w:pStyle w:val="BodyText"/>
            </w:pPr>
            <w:r w:rsidRPr="00A806C1">
              <w:t xml:space="preserve">A person undertaking this unit must hold: </w:t>
            </w:r>
          </w:p>
          <w:p w:rsidR="00000000" w:rsidRPr="00A806C1" w:rsidP="00A806C1">
            <w:pPr>
              <w:pStyle w:val="ListBullet"/>
            </w:pPr>
            <w:r w:rsidRPr="00A806C1">
              <w:t>a current National HRWL to perform dogging or a current certification for a specific VET course for HRWL to perform dogging that has been issued by, or on behalf of a WHS Re</w:t>
            </w:r>
            <w:r w:rsidRPr="00A806C1">
              <w:t>gulator.</w:t>
            </w:r>
          </w:p>
          <w:p w:rsidR="00000000" w:rsidRPr="00A806C1" w:rsidP="00A806C1">
            <w:pPr>
              <w:pStyle w:val="BodyText"/>
            </w:pPr>
            <w:r w:rsidRPr="00A806C1">
              <w:t>Slewing mobile crane means a mobile crane incorporating a boom or jib that can be slewed, but does not include:</w:t>
            </w:r>
          </w:p>
          <w:p w:rsidR="00000000" w:rsidRPr="00A806C1" w:rsidP="00A806C1">
            <w:pPr>
              <w:pStyle w:val="ListBullet"/>
            </w:pPr>
            <w:r w:rsidRPr="00A806C1">
              <w:t>a front-end loader or</w:t>
            </w:r>
          </w:p>
          <w:p w:rsidR="00000000" w:rsidRPr="00A806C1" w:rsidP="00A806C1">
            <w:pPr>
              <w:pStyle w:val="ListBullet"/>
            </w:pPr>
            <w:r w:rsidRPr="00A806C1">
              <w:t>a backhoe or</w:t>
            </w:r>
          </w:p>
          <w:p w:rsidR="00000000" w:rsidRPr="00A806C1" w:rsidP="00A806C1">
            <w:pPr>
              <w:pStyle w:val="ListBullet"/>
            </w:pPr>
            <w:r w:rsidRPr="00A806C1">
              <w:t>an excavator or</w:t>
            </w:r>
          </w:p>
          <w:p w:rsidR="00000000" w:rsidRPr="00A806C1" w:rsidP="00A806C1">
            <w:pPr>
              <w:pStyle w:val="ListBullet"/>
            </w:pPr>
            <w:r w:rsidRPr="00A806C1">
              <w:t>other earth moving equipment, when configured for crane operation.</w:t>
            </w:r>
          </w:p>
          <w:p w:rsidR="00000000" w:rsidRPr="00A806C1" w:rsidP="00A806C1">
            <w:pPr>
              <w:pStyle w:val="BodyText"/>
            </w:pPr>
            <w:r w:rsidRPr="00A806C1">
              <w:t>A person performing this work is required to hold a slewing mobile crane with an MRC up to 60 tonnes HRWL.</w:t>
            </w:r>
          </w:p>
          <w:p w:rsidR="00000000" w:rsidRPr="00A806C1" w:rsidP="00A806C1">
            <w:pPr>
              <w:pStyle w:val="BodyText"/>
            </w:pPr>
            <w:r w:rsidRPr="00A806C1">
              <w:t>This unit requires a person operating a slewing mobile crane with an MRC up to 60 tonnes to:</w:t>
            </w:r>
          </w:p>
          <w:p w:rsidR="00000000" w:rsidRPr="00A806C1" w:rsidP="00A806C1">
            <w:pPr>
              <w:pStyle w:val="ListBullet"/>
            </w:pPr>
            <w:r w:rsidRPr="00A806C1">
              <w:t>plan for the work/task</w:t>
            </w:r>
          </w:p>
          <w:p w:rsidR="00000000" w:rsidRPr="00A806C1" w:rsidP="00A806C1">
            <w:pPr>
              <w:pStyle w:val="ListBullet"/>
            </w:pPr>
            <w:r w:rsidRPr="00A806C1">
              <w:t>prepare for the work/task</w:t>
            </w:r>
          </w:p>
          <w:p w:rsidR="00000000" w:rsidRPr="00A806C1" w:rsidP="00A806C1">
            <w:pPr>
              <w:pStyle w:val="ListBullet"/>
            </w:pPr>
            <w:r w:rsidRPr="00A806C1">
              <w:t>perfor</w:t>
            </w:r>
            <w:r w:rsidRPr="00A806C1">
              <w:t>m work/task</w:t>
            </w:r>
          </w:p>
          <w:p w:rsidR="00000000" w:rsidRPr="00A806C1" w:rsidP="00A806C1">
            <w:pPr>
              <w:pStyle w:val="ListBullet"/>
            </w:pPr>
            <w:r w:rsidRPr="00A806C1">
              <w:t>pack up</w:t>
            </w:r>
          </w:p>
          <w:p w:rsidR="00000000" w:rsidRPr="00A806C1" w:rsidP="00A806C1">
            <w:pPr>
              <w:pStyle w:val="BodyText"/>
            </w:pPr>
            <w:r w:rsidRPr="00A806C1">
              <w:rPr>
                <w:rStyle w:val="SpecialBold"/>
              </w:rPr>
              <w:t>Licensing/Regulatory Information</w:t>
            </w:r>
          </w:p>
          <w:p w:rsidR="00000000" w:rsidRPr="00A806C1" w:rsidP="00A806C1">
            <w:pPr>
              <w:pStyle w:val="BodyText"/>
            </w:pPr>
            <w:r w:rsidRPr="00A806C1">
              <w:t xml:space="preserve">Legislative and regulatory requirements are applicable to this unit of competency. </w:t>
            </w:r>
          </w:p>
          <w:p w:rsidR="00000000" w:rsidRPr="00A806C1" w:rsidP="00A806C1">
            <w:pPr>
              <w:pStyle w:val="BodyText"/>
            </w:pPr>
            <w:r w:rsidRPr="00A806C1">
              <w:t xml:space="preserve">This unit is based on the licensing requirements of Part 4.5 of the Model Work Health and Safety (WHS) Regulations and </w:t>
            </w:r>
            <w:r w:rsidRPr="00A806C1">
              <w:t xml:space="preserve">meets Commonwealth, State and Territory HRWL requirements. </w:t>
            </w:r>
          </w:p>
          <w:p w:rsidR="00000000" w:rsidRPr="00A806C1" w:rsidP="00A806C1">
            <w:pPr>
              <w:pStyle w:val="BodyText"/>
            </w:pPr>
            <w:r w:rsidRPr="00A806C1">
              <w:t xml:space="preserve">The National Assessment Instrument (NAI) is the mandated assessment for the HRWL to operate the relevant licencing class as detailed in this unit.  </w:t>
            </w:r>
          </w:p>
        </w:tc>
      </w:tr>
    </w:tbl>
    <w:p w:rsidR="00000000" w:rsidRPr="00A806C1" w:rsidP="00A806C1">
      <w:pPr>
        <w:pStyle w:val="NoPaddingFontSize1"/>
      </w:pPr>
    </w:p>
    <w:p w:rsidR="00000000" w:rsidRPr="00A806C1" w:rsidP="00A806C1">
      <w:pPr>
        <w:pStyle w:val="AllowPageBreak"/>
      </w:pPr>
    </w:p>
    <w:p w:rsidR="00000000" w:rsidRPr="00A806C1" w:rsidP="00A806C1">
      <w:pPr>
        <w:pStyle w:val="Heading1"/>
      </w:pPr>
      <w:bookmarkStart w:id="3" w:name="O_1063265"/>
      <w:bookmarkEnd w:id="3"/>
      <w:r w:rsidRPr="00A806C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0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t>Not applicable</w:t>
            </w:r>
          </w:p>
        </w:tc>
      </w:tr>
    </w:tbl>
    <w:p w:rsidR="00000000" w:rsidRPr="00A806C1" w:rsidP="00A806C1">
      <w:pPr>
        <w:pStyle w:val="NoPaddingFontSize1"/>
      </w:pPr>
    </w:p>
    <w:p w:rsidR="00000000" w:rsidRPr="00A806C1" w:rsidP="00A806C1">
      <w:pPr>
        <w:pStyle w:val="AllowPageBreak"/>
      </w:pPr>
    </w:p>
    <w:p w:rsidR="00000000" w:rsidRPr="00A806C1" w:rsidP="00A806C1">
      <w:pPr>
        <w:pStyle w:val="Heading1"/>
      </w:pPr>
      <w:bookmarkStart w:id="4" w:name="O_1063264"/>
      <w:bookmarkEnd w:id="4"/>
      <w:r w:rsidRPr="00A806C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0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t>LIC - Licencing Units</w:t>
            </w:r>
          </w:p>
        </w:tc>
      </w:tr>
    </w:tbl>
    <w:p w:rsidR="00000000" w:rsidRPr="00A806C1" w:rsidP="00A806C1">
      <w:pPr>
        <w:pStyle w:val="NoPaddingFontSize1"/>
      </w:pPr>
    </w:p>
    <w:p w:rsidR="00000000" w:rsidRPr="00A806C1" w:rsidP="00A806C1">
      <w:pPr>
        <w:pStyle w:val="AllowPageBreak"/>
      </w:pPr>
    </w:p>
    <w:p w:rsidR="00000000" w:rsidRPr="00A806C1" w:rsidP="00A806C1">
      <w:pPr>
        <w:pStyle w:val="Heading1"/>
      </w:pPr>
      <w:bookmarkStart w:id="5" w:name="O_1063263"/>
      <w:bookmarkEnd w:id="5"/>
      <w:r w:rsidRPr="00A806C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0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t>Not applicable</w:t>
            </w:r>
          </w:p>
        </w:tc>
      </w:tr>
    </w:tbl>
    <w:p w:rsidR="00000000" w:rsidRPr="00A806C1" w:rsidP="00A806C1">
      <w:pPr>
        <w:pStyle w:val="NoPaddingFontSize1"/>
      </w:pPr>
    </w:p>
    <w:p w:rsidR="00000000" w:rsidRPr="00A806C1" w:rsidP="00A806C1">
      <w:pPr>
        <w:pStyle w:val="AllowPageBreak"/>
      </w:pPr>
    </w:p>
    <w:p w:rsidR="00000000" w:rsidRPr="00A806C1" w:rsidP="00A806C1">
      <w:pPr>
        <w:pStyle w:val="Heading1"/>
      </w:pPr>
      <w:bookmarkStart w:id="6" w:name="O_1063262"/>
      <w:bookmarkEnd w:id="6"/>
      <w:r w:rsidRPr="00A806C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PERFORMANCE CRITERIA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Performance criteria describe the performance needed to demonstrate achievement of the element.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rPr>
                <w:rStyle w:val="SpecialBold"/>
              </w:rPr>
              <w:t>Plan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Task requirements are identified from work orders or equivalent and a lift plan is confirmed with associated personnel and a site inspect</w:t>
            </w:r>
            <w:r w:rsidRPr="00A806C1">
              <w:t>ion is conducted in accordance a with workplace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Work area operating surface is confirmed to determine ground suitability for operational use of mobile crane in accordance with lift plan, safe work and workplace/s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 xml:space="preserve">Mobile crane rated capacity (RC) and the lifting gear Working Load Limit (WLL) are established and suitable for the load/s and work/task requirements in accordance with manufacturer requirements and workplace procedures 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Appropriate paths for operat</w:t>
            </w:r>
            <w:r w:rsidRPr="00A806C1">
              <w:t xml:space="preserve">ing the mobile crane and moving and placing load/s in work area are assessed and determined in accordance with workplace procedures 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1.5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 xml:space="preserve">Relevant hazard identification and risk elimination/control measures are applied and advised to associated personnel in accordance with workplace </w:t>
            </w:r>
            <w:r w:rsidRPr="00A806C1">
              <w:t xml:space="preserve">procedures 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9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1.6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Traffic management plan implementation is confirmed in accordance with workplace procedures</w:t>
            </w:r>
            <w:r w:rsidRPr="00A806C1">
              <w:t xml:space="preserve"> 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1.7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Appropriate communication procedures are identified with associated personnel in accordance with workplace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1.8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All crane and lifting operations are confirmed to ensure relevant work area requirements are correct in accordance with a lift plan and workplace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rPr>
                <w:rStyle w:val="SpecialBold"/>
              </w:rPr>
              <w:t>Prepare for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 xml:space="preserve">Consultation with workplace personnel is </w:t>
            </w:r>
            <w:r w:rsidRPr="00A806C1">
              <w:t>established and maintained to ensure all crane and lifting operations are clear and consistent with site requirements in accordance with a lift plan and workplace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Risk control measures for hazards identified are checked for implementation</w:t>
            </w:r>
            <w:r w:rsidRPr="00A806C1">
              <w:t xml:space="preserve"> in accordance with the lift plan and safe work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Mobile crane is accessed safely in accordance with manufacturer requirements and safe work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2.4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Pre-start mobile crane checks are carried out and any damage and defects are reported, recorded and appropriate action is taken in accordance with manufacturer requirements and safe work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2.5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Mobile crane is set up correctly with any lifting gear and stabilised as per the lift plan in accordance with relevant manufacturer requirements including load chart/s and safe work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2.6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Counterweight/s are set up as required in accordance wit</w:t>
            </w:r>
            <w:r w:rsidRPr="00A806C1">
              <w:t>h the lift plan, relevant manufacturer requirements and safe work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2.7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Fly jib and/or luffing fly are set up as required in accordance with specific manufacturer requirements and safe work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2.8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Operational checks are carried out and any damage and defects are reported, recorded and appropriate action is taken in accordance with manufacturer requirements and safe work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2.9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Crane logbook is checked to confirm current compliance, is c</w:t>
            </w:r>
            <w:r w:rsidRPr="00A806C1">
              <w:t>orrect for the crane type, is completed and signed and required rectifications have been signed off in accordance with manufacturer requirements and safe work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2.10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Weather and work environment conditions are assessed to determine any impact o</w:t>
            </w:r>
            <w:r w:rsidRPr="00A806C1">
              <w:t>n mobile crane operations in accordance with manufacturer requirements and safe work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rPr>
                <w:rStyle w:val="SpecialBold"/>
              </w:rPr>
              <w:t xml:space="preserve">Perform work/task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Lifts are determined to be within the RC of the mobile crane in accordance with the load chart/s and lift plan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 xml:space="preserve">Boom/jib and hook block is safely positioned over the load following directions from associated personnel in accordance with the lift plan and safe work procedures 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 xml:space="preserve">Main and/or auxiliary hook including any lifting gear, where required are connected </w:t>
            </w:r>
            <w:r w:rsidRPr="00A806C1">
              <w:t>to the load and used safely in accordance with the lift plan, safe work procedures and manufacturer requirements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Test lift is carried out in accordance with dogging and safe work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3.5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Loads are transferred using relevant crane movements and tag lines as required, in accordance with lift plan and safe work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NoPaddingFontSize1"/>
              <w:rPr>
                <w:rFonts w:eastAsia="Times New Roman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3.6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Load and crane movement is monitored constantly and crane is operated safely in accordance with lift plan and safe work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3.7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 xml:space="preserve">All required communication signals are correctly interpreted and followed whilst crane is operated in accordance with </w:t>
            </w:r>
            <w:r w:rsidRPr="00A806C1">
              <w:t xml:space="preserve">the lift plan and safe work procedures 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3.8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Load is lowered and landed safely in accordance with lift plan and safe work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3.9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Lifting gear is positioned for safe disconnection from the load and crane is positioned for next task in accordance with lift plan and safe work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rPr>
                <w:rStyle w:val="SpecialBold"/>
              </w:rPr>
              <w:t>Pack up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Crane boom/jib, lifting gear and associated equipment is stowed a</w:t>
            </w:r>
            <w:r w:rsidRPr="00A806C1">
              <w:t>nd secured as required in accordance with manufacturer requirements and safe work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Crane fly jib and/or luffing fly and counterweight/s is removed to storage position and secured as required in accordance with manufacturer requirements and</w:t>
            </w:r>
            <w:r w:rsidRPr="00A806C1">
              <w:t xml:space="preserve"> safe work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4.3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Relevant motion locks and brakes are applied as required in accordance with manufacturer requirements and safe work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4.4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Outriggers, plates and/or packing are stowed and secured in accordance with manufacturer requirements and safe work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4.5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t>Crane is shut down and secured to prevent unauthorised access/use in accordance with safe work procedures</w:t>
            </w:r>
          </w:p>
        </w:tc>
      </w:tr>
      <w:tr w:rsidTr="00A80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C1">
            <w:pPr>
              <w:pStyle w:val="BodyText"/>
              <w:rPr>
                <w:lang w:val="en-NZ"/>
              </w:rPr>
            </w:pPr>
            <w:r w:rsidRPr="00A806C1">
              <w:rPr>
                <w:rStyle w:val="SpecialBold"/>
              </w:rPr>
              <w:t>4.6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t>Shut down crane checks are carried out in accordance with safe work procedures and manufacturer requirements</w:t>
            </w:r>
          </w:p>
        </w:tc>
      </w:tr>
    </w:tbl>
    <w:p w:rsidR="00000000" w:rsidRPr="00A806C1" w:rsidP="00A806C1">
      <w:pPr>
        <w:pStyle w:val="NoPaddingFontSize1"/>
      </w:pPr>
    </w:p>
    <w:p w:rsidR="00000000" w:rsidRPr="00A806C1" w:rsidP="00A806C1">
      <w:pPr>
        <w:pStyle w:val="AllowPageBreak"/>
      </w:pPr>
    </w:p>
    <w:p w:rsidR="00000000" w:rsidRPr="00A806C1" w:rsidP="00A806C1">
      <w:pPr>
        <w:pStyle w:val="Heading1"/>
      </w:pPr>
      <w:bookmarkStart w:id="7" w:name="O_1063261"/>
      <w:bookmarkEnd w:id="7"/>
      <w:r w:rsidRPr="00A806C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0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t>Foundation skills essential to performance are explicit in the performance criteria of this unit of competency</w:t>
            </w:r>
          </w:p>
        </w:tc>
      </w:tr>
    </w:tbl>
    <w:p w:rsidR="00000000" w:rsidRPr="00A806C1" w:rsidP="00A806C1">
      <w:pPr>
        <w:pStyle w:val="NoPaddingFontSize1"/>
      </w:pPr>
    </w:p>
    <w:p w:rsidR="00000000" w:rsidRPr="00A806C1" w:rsidP="00A806C1">
      <w:pPr>
        <w:pStyle w:val="AllowPageBreak"/>
      </w:pPr>
    </w:p>
    <w:p w:rsidR="00000000" w:rsidRPr="00A806C1" w:rsidP="00A806C1">
      <w:pPr>
        <w:pStyle w:val="Heading1"/>
      </w:pPr>
      <w:bookmarkStart w:id="8" w:name="O_1063260"/>
      <w:bookmarkEnd w:id="8"/>
      <w:r w:rsidRPr="00A806C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0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t>Range is restricted to essential operating conditions and any other variables essential to the work environment.</w:t>
            </w:r>
          </w:p>
          <w:p w:rsidR="00000000" w:rsidRPr="00A806C1" w:rsidP="00A806C1">
            <w:pPr>
              <w:pStyle w:val="BodyText"/>
            </w:pPr>
            <w:r w:rsidRPr="00A806C1">
              <w:t>Non -essential conditions may be found in the Companion Volume Implementation Guide.</w:t>
            </w:r>
          </w:p>
        </w:tc>
      </w:tr>
    </w:tbl>
    <w:p w:rsidR="00000000" w:rsidRPr="00A806C1" w:rsidP="00A806C1">
      <w:pPr>
        <w:pStyle w:val="NoPaddingFontSize1"/>
      </w:pPr>
    </w:p>
    <w:p w:rsidR="00000000" w:rsidRPr="00A806C1" w:rsidP="00A806C1">
      <w:pPr>
        <w:pStyle w:val="AllowPageBreak"/>
      </w:pPr>
    </w:p>
    <w:p w:rsidR="00000000" w:rsidRPr="00A806C1" w:rsidP="00A806C1">
      <w:pPr>
        <w:pStyle w:val="Heading1"/>
      </w:pPr>
      <w:bookmarkStart w:id="9" w:name="O_1063259"/>
      <w:bookmarkEnd w:id="9"/>
      <w:r w:rsidRPr="00A806C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0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C1" w:rsidP="00A806C1">
            <w:pPr>
              <w:pStyle w:val="BodyText"/>
            </w:pPr>
            <w:r w:rsidRPr="00A806C1">
              <w:t>This unit re</w:t>
            </w:r>
            <w:r w:rsidRPr="00A806C1">
              <w:t>places and is equivalent to TLILIC4009 Licence to operate a slewing mobile crane (up to 60 tonnes)</w:t>
            </w:r>
          </w:p>
        </w:tc>
      </w:tr>
    </w:tbl>
    <w:p w:rsidR="00000000" w:rsidRPr="00A806C1" w:rsidP="00A806C1">
      <w:pPr>
        <w:pStyle w:val="NoPaddingFontSize1"/>
      </w:pPr>
    </w:p>
    <w:p w:rsidR="00000000" w:rsidRPr="00A806C1" w:rsidP="00A806C1">
      <w:pPr>
        <w:pStyle w:val="AllowPageBreak"/>
      </w:pPr>
    </w:p>
    <w:p w:rsidR="00000000" w:rsidRPr="00A806C1" w:rsidP="00A806C1">
      <w:pPr>
        <w:pStyle w:val="Heading1"/>
      </w:pPr>
      <w:bookmarkStart w:id="10" w:name="O_1063268"/>
      <w:bookmarkEnd w:id="10"/>
      <w:r w:rsidRPr="00A806C1">
        <w:t>Links</w:t>
      </w:r>
    </w:p>
    <w:p w:rsidR="00000000" w:rsidRPr="00A806C1" w:rsidP="00EE7EC3">
      <w:pPr>
        <w:pStyle w:val="BodyText"/>
      </w:pPr>
      <w:r w:rsidRPr="00A806C1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7153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806C1" w:rsidP="00A806C1"/>
    <w:sectPr w:rsidSect="00A806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C1" w:rsidRPr="00EE7EC3" w:rsidP="00EE7E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EC3" w:rsidP="00A806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E7EC3" w:rsidP="00A806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7EC3" w:rsidP="00A806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E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6C1" w:rsidRPr="00EE7EC3" w:rsidP="00EE7E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EC3" w:rsidRPr="002D2AF8" w:rsidP="00A806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TLILIC0013 Licence to operate a slewing mobile crane (up to 60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2022</w:t>
    </w:r>
    <w:r>
      <w:fldChar w:fldCharType="end"/>
    </w:r>
  </w:p>
  <w:p w:rsidR="00EE7EC3" w:rsidP="00A806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3AF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B2EB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6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6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6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6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6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6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6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6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6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6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6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6C1"/>
  </w:style>
  <w:style w:type="character" w:customStyle="1" w:styleId="Heading1Char">
    <w:name w:val="Heading 1 Char"/>
    <w:basedOn w:val="DefaultParagraphFont"/>
    <w:link w:val="Heading1"/>
    <w:rsid w:val="00A806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06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6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06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06C1"/>
    <w:rPr>
      <w:b/>
      <w:spacing w:val="0"/>
    </w:rPr>
  </w:style>
  <w:style w:type="paragraph" w:customStyle="1" w:styleId="SuperHeading">
    <w:name w:val="SuperHeading"/>
    <w:basedOn w:val="Normal"/>
    <w:rsid w:val="00A806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6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806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6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6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6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6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6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6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6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6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6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6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6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6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6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06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06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06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6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6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06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06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6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6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6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6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6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6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6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6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06C1"/>
    <w:rPr>
      <w:i/>
    </w:rPr>
  </w:style>
  <w:style w:type="paragraph" w:styleId="Caption">
    <w:name w:val="caption"/>
    <w:basedOn w:val="BodyText"/>
    <w:next w:val="Normal"/>
    <w:qFormat/>
    <w:rsid w:val="00A806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6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6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6C1"/>
  </w:style>
  <w:style w:type="paragraph" w:styleId="TableofFigures">
    <w:name w:val="table of figures"/>
    <w:basedOn w:val="Normal"/>
    <w:next w:val="Normal"/>
    <w:semiHidden/>
    <w:rsid w:val="00A806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6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06C1"/>
    <w:rPr>
      <w:rFonts w:ascii="Wingdings" w:hAnsi="Wingdings"/>
    </w:rPr>
  </w:style>
  <w:style w:type="paragraph" w:customStyle="1" w:styleId="TableHeading">
    <w:name w:val="Table Heading"/>
    <w:basedOn w:val="HeadingBase"/>
    <w:rsid w:val="00A806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6C1"/>
    <w:rPr>
      <w:color w:val="0033CC"/>
      <w:u w:val="none"/>
    </w:rPr>
  </w:style>
  <w:style w:type="paragraph" w:customStyle="1" w:styleId="BodyTextRight">
    <w:name w:val="Body Text Right"/>
    <w:basedOn w:val="BodyText"/>
    <w:rsid w:val="00A806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6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6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6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6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6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6C1"/>
    <w:rPr>
      <w:sz w:val="32"/>
    </w:rPr>
  </w:style>
  <w:style w:type="paragraph" w:customStyle="1" w:styleId="HeadingProcedure">
    <w:name w:val="Heading Procedure"/>
    <w:basedOn w:val="HeadingBase"/>
    <w:next w:val="Normal"/>
    <w:rsid w:val="00A806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6C1"/>
    <w:pPr>
      <w:spacing w:before="60" w:after="60"/>
    </w:pPr>
  </w:style>
  <w:style w:type="paragraph" w:styleId="ListContinue">
    <w:name w:val="List Continue"/>
    <w:basedOn w:val="List"/>
    <w:rsid w:val="00A806C1"/>
    <w:pPr>
      <w:ind w:firstLine="0"/>
    </w:pPr>
  </w:style>
  <w:style w:type="paragraph" w:customStyle="1" w:styleId="ListNote">
    <w:name w:val="List Note"/>
    <w:basedOn w:val="List"/>
    <w:rsid w:val="00A806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6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6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6C1"/>
    <w:rPr>
      <w:rFonts w:ascii="Courier New" w:hAnsi="Courier New"/>
    </w:rPr>
  </w:style>
  <w:style w:type="paragraph" w:customStyle="1" w:styleId="NoteBullet">
    <w:name w:val="Note Bullet"/>
    <w:basedOn w:val="Note"/>
    <w:rsid w:val="00A806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6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6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6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6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06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6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6C1"/>
    <w:rPr>
      <w:b/>
      <w:smallCaps/>
    </w:rPr>
  </w:style>
  <w:style w:type="paragraph" w:customStyle="1" w:styleId="TableListNumber">
    <w:name w:val="Table List Number"/>
    <w:basedOn w:val="ListNumber"/>
    <w:rsid w:val="00A806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6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6C1"/>
    <w:pPr>
      <w:numPr>
        <w:numId w:val="8"/>
      </w:numPr>
    </w:pPr>
  </w:style>
  <w:style w:type="paragraph" w:customStyle="1" w:styleId="ListAlpha2">
    <w:name w:val="List Alpha 2"/>
    <w:basedOn w:val="List2"/>
    <w:rsid w:val="00A806C1"/>
    <w:pPr>
      <w:numPr>
        <w:numId w:val="7"/>
      </w:numPr>
    </w:pPr>
  </w:style>
  <w:style w:type="paragraph" w:styleId="List2">
    <w:name w:val="List 2"/>
    <w:basedOn w:val="BodyText"/>
    <w:rsid w:val="00A806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6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6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6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6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6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06C1"/>
    <w:pPr>
      <w:numPr>
        <w:numId w:val="3"/>
      </w:numPr>
    </w:pPr>
  </w:style>
  <w:style w:type="paragraph" w:styleId="ListContinue2">
    <w:name w:val="List Continue 2"/>
    <w:basedOn w:val="List2"/>
    <w:rsid w:val="00A806C1"/>
    <w:pPr>
      <w:ind w:firstLine="0"/>
    </w:pPr>
  </w:style>
  <w:style w:type="paragraph" w:styleId="ListContinue3">
    <w:name w:val="List Continue 3"/>
    <w:basedOn w:val="List3"/>
    <w:rsid w:val="00A806C1"/>
    <w:pPr>
      <w:ind w:left="1021" w:firstLine="0"/>
    </w:pPr>
  </w:style>
  <w:style w:type="paragraph" w:styleId="ListContinue4">
    <w:name w:val="List Continue 4"/>
    <w:basedOn w:val="List4"/>
    <w:rsid w:val="00A806C1"/>
    <w:pPr>
      <w:ind w:firstLine="0"/>
    </w:pPr>
  </w:style>
  <w:style w:type="paragraph" w:styleId="ListContinue5">
    <w:name w:val="List Continue 5"/>
    <w:basedOn w:val="List5"/>
    <w:rsid w:val="00A806C1"/>
    <w:pPr>
      <w:ind w:firstLine="0"/>
    </w:pPr>
  </w:style>
  <w:style w:type="paragraph" w:styleId="ListNumber3">
    <w:name w:val="List Number 3"/>
    <w:basedOn w:val="List3"/>
    <w:rsid w:val="00A806C1"/>
    <w:pPr>
      <w:numPr>
        <w:numId w:val="4"/>
      </w:numPr>
    </w:pPr>
  </w:style>
  <w:style w:type="paragraph" w:styleId="ListNumber4">
    <w:name w:val="List Number 4"/>
    <w:basedOn w:val="List4"/>
    <w:rsid w:val="00A806C1"/>
    <w:pPr>
      <w:numPr>
        <w:numId w:val="5"/>
      </w:numPr>
    </w:pPr>
  </w:style>
  <w:style w:type="paragraph" w:styleId="ListNumber5">
    <w:name w:val="List Number 5"/>
    <w:basedOn w:val="List5"/>
    <w:rsid w:val="00A806C1"/>
    <w:pPr>
      <w:numPr>
        <w:numId w:val="6"/>
      </w:numPr>
    </w:pPr>
  </w:style>
  <w:style w:type="paragraph" w:styleId="BlockText">
    <w:name w:val="Block Text"/>
    <w:basedOn w:val="Normal"/>
    <w:rsid w:val="00A806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6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6C1"/>
    <w:rPr>
      <w:sz w:val="16"/>
      <w:vertAlign w:val="superscript"/>
    </w:rPr>
  </w:style>
  <w:style w:type="character" w:customStyle="1" w:styleId="Symbols">
    <w:name w:val="Symbols"/>
    <w:basedOn w:val="DefaultParagraphFont"/>
    <w:rsid w:val="00A806C1"/>
    <w:rPr>
      <w:rFonts w:ascii="Symbol" w:hAnsi="Symbol"/>
    </w:rPr>
  </w:style>
  <w:style w:type="character" w:customStyle="1" w:styleId="MenuOptions">
    <w:name w:val="Menu Options"/>
    <w:basedOn w:val="DefaultParagraphFont"/>
    <w:rsid w:val="00A806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6C1"/>
    <w:rPr>
      <w:b/>
    </w:rPr>
  </w:style>
  <w:style w:type="character" w:customStyle="1" w:styleId="Underlined">
    <w:name w:val="Underlined"/>
    <w:basedOn w:val="DefaultParagraphFont"/>
    <w:rsid w:val="00A806C1"/>
    <w:rPr>
      <w:u w:val="single"/>
    </w:rPr>
  </w:style>
  <w:style w:type="paragraph" w:customStyle="1" w:styleId="TableBodyTextRight">
    <w:name w:val="Table Body Text Right"/>
    <w:basedOn w:val="TableBodyText"/>
    <w:rsid w:val="00A806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6C1"/>
    <w:rPr>
      <w:sz w:val="18"/>
    </w:rPr>
  </w:style>
  <w:style w:type="paragraph" w:customStyle="1" w:styleId="BodySmallRight">
    <w:name w:val="Body Small Right"/>
    <w:basedOn w:val="BodyTextRight"/>
    <w:rsid w:val="00A806C1"/>
    <w:rPr>
      <w:sz w:val="18"/>
      <w:szCs w:val="18"/>
    </w:rPr>
  </w:style>
  <w:style w:type="paragraph" w:customStyle="1" w:styleId="MarginEdition">
    <w:name w:val="Margin Edition"/>
    <w:basedOn w:val="MarginNote"/>
    <w:rsid w:val="00A806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6C1"/>
    <w:rPr>
      <w:sz w:val="2"/>
      <w:szCs w:val="2"/>
    </w:rPr>
  </w:style>
  <w:style w:type="character" w:customStyle="1" w:styleId="Small">
    <w:name w:val="Small"/>
    <w:basedOn w:val="DefaultParagraphFont"/>
    <w:rsid w:val="00A806C1"/>
    <w:rPr>
      <w:sz w:val="16"/>
    </w:rPr>
  </w:style>
  <w:style w:type="paragraph" w:customStyle="1" w:styleId="WideTable">
    <w:name w:val="Wide Table"/>
    <w:basedOn w:val="Normal"/>
    <w:rsid w:val="00A806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6C1"/>
  </w:style>
  <w:style w:type="paragraph" w:styleId="Quote">
    <w:name w:val="Quote"/>
    <w:basedOn w:val="Heading1"/>
    <w:link w:val="QuoteChar"/>
    <w:qFormat/>
    <w:rsid w:val="00A806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6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6C1"/>
    <w:pPr>
      <w:pageBreakBefore/>
    </w:pPr>
  </w:style>
  <w:style w:type="paragraph" w:customStyle="1" w:styleId="Border">
    <w:name w:val="Border"/>
    <w:basedOn w:val="Normal"/>
    <w:qFormat/>
    <w:rsid w:val="00A806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6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6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6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6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6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6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6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6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6C1"/>
    <w:rPr>
      <w:u w:val="single"/>
    </w:rPr>
  </w:style>
  <w:style w:type="character" w:customStyle="1" w:styleId="BoldandItalics">
    <w:name w:val="Bold and Italics"/>
    <w:qFormat/>
    <w:rsid w:val="00A806C1"/>
    <w:rPr>
      <w:b/>
      <w:i/>
      <w:u w:val="none"/>
    </w:rPr>
  </w:style>
  <w:style w:type="paragraph" w:styleId="BalloonText">
    <w:name w:val="Balloon Text"/>
    <w:basedOn w:val="Normal"/>
    <w:link w:val="BalloonTextChar"/>
    <w:rsid w:val="00A806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6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6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6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6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6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6C1"/>
    <w:pPr>
      <w:spacing w:before="0" w:after="0"/>
    </w:pPr>
  </w:style>
  <w:style w:type="paragraph" w:customStyle="1" w:styleId="BodyTextBold">
    <w:name w:val="Body Text Bold"/>
    <w:basedOn w:val="BodyText"/>
    <w:qFormat/>
    <w:rsid w:val="00A806C1"/>
    <w:rPr>
      <w:b/>
    </w:rPr>
  </w:style>
  <w:style w:type="character" w:styleId="Hyperlink">
    <w:name w:val="Hyperlink"/>
    <w:basedOn w:val="DefaultParagraphFont"/>
    <w:uiPriority w:val="99"/>
    <w:unhideWhenUsed/>
    <w:rsid w:val="00EE7E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1270</Words>
  <Characters>7152</Characters>
  <Application>Microsoft Office Word</Application>
  <DocSecurity>0</DocSecurity>
  <Lines>310</Lines>
  <Paragraphs>145</Paragraphs>
  <ScaleCrop>false</ScaleCrop>
  <Company>Author-it Software Corporation Ltd.</Company>
  <LinksUpToDate>false</LinksUpToDate>
  <CharactersWithSpaces>8277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TLILIC0013 Licence to operate a slewing mobile crane (up to 60 tonnes)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2022-03-18T04:57:00Z</dcterms:created>
  <dcterms:modified xsi:type="dcterms:W3CDTF">2022-03-18T04:57:00Z</dcterms:modified>
</cp:coreProperties>
</file>