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DA8" w:rsidP="004C4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TLILIC0012 Licence to operate a vehicle loading crane (capacity 10 metre tonnes and above)</w:t>
      </w:r>
      <w:r>
        <w:fldChar w:fldCharType="end"/>
      </w:r>
    </w:p>
    <w:p w:rsidR="004C4DA8" w:rsidP="004C4DA8">
      <w:pPr>
        <w:pStyle w:val="Version"/>
        <w:sectPr w:rsidSect="00A55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C51" w:rsidP="00A55C51">
      <w:pPr>
        <w:pStyle w:val="SuperHeading"/>
      </w:pPr>
      <w:r w:rsidRPr="00A55C51">
        <w:t>TLILIC0012 Licence to operate a vehicle loading crane (capacity 10 metre tonnes and above)</w:t>
      </w:r>
    </w:p>
    <w:p w:rsidR="00000000" w:rsidRPr="00A55C51" w:rsidP="00A55C51">
      <w:pPr>
        <w:pStyle w:val="Heading1"/>
      </w:pPr>
      <w:bookmarkStart w:id="1" w:name="O_829128"/>
      <w:bookmarkEnd w:id="1"/>
      <w:r w:rsidRPr="00A55C51">
        <w:t>Modification History</w:t>
      </w:r>
    </w:p>
    <w:p w:rsidR="004C4DA8" w:rsidP="00A55C51">
      <w:pPr>
        <w:pStyle w:val="BodyText"/>
      </w:pPr>
      <w:r w:rsidRPr="00A55C51">
        <w:t>Release 1. This is the first release of this unit of competency in the TLI Transport and Logistics Training Package.</w:t>
      </w: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2" w:name="O_829129"/>
      <w:bookmarkEnd w:id="2"/>
      <w:r w:rsidRPr="00A55C5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t>This unit specifies the skills and knowledge required to safely operate a vehicle loading crane with a capacity of 10 metre tonnes or more</w:t>
            </w:r>
          </w:p>
          <w:p w:rsidR="00000000" w:rsidRPr="00A55C51" w:rsidP="00A55C51">
            <w:pPr>
              <w:pStyle w:val="BodyText"/>
            </w:pPr>
            <w:r w:rsidRPr="00A55C51">
              <w:t>Vehicle loading crane means a crane mounted on a vehicle for the purpose of loading and unloading</w:t>
            </w:r>
            <w:r w:rsidRPr="00A55C51">
              <w:t xml:space="preserve"> the vehicle.</w:t>
            </w:r>
          </w:p>
          <w:p w:rsidR="00000000" w:rsidRPr="00A55C51" w:rsidP="00A55C51">
            <w:pPr>
              <w:pStyle w:val="BodyText"/>
            </w:pPr>
            <w:r w:rsidRPr="00A55C51">
              <w:t>This unit applies to the activities of a person operating a vehicle loading crane with a capacity of 10 metre tonnes or more, and includes applying load estimation and slinging techniques to move a load.</w:t>
            </w:r>
          </w:p>
          <w:p w:rsidR="00000000" w:rsidRPr="00A55C51" w:rsidP="00A55C51">
            <w:pPr>
              <w:pStyle w:val="BodyText"/>
            </w:pPr>
            <w:r w:rsidRPr="00A55C51">
              <w:t>A person performing this work is requi</w:t>
            </w:r>
            <w:r w:rsidRPr="00A55C51">
              <w:t xml:space="preserve">red to hold a vehicle loading crane high risk work (HRW) licence. </w:t>
            </w:r>
          </w:p>
          <w:p w:rsidR="00000000" w:rsidRPr="00A55C51" w:rsidP="00A55C51">
            <w:pPr>
              <w:pStyle w:val="BodyText"/>
            </w:pPr>
            <w:r w:rsidRPr="00A55C51">
              <w:t>This unit requires a person operating vehicle loading crane to plan the work, conduct routine checks, set up the crane, shift loads in a safe manner and safely shut down and secure the cran</w:t>
            </w:r>
            <w:r w:rsidRPr="00A55C51">
              <w:t>e.</w:t>
            </w:r>
          </w:p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Licensing/Regulatory Information</w:t>
            </w:r>
          </w:p>
          <w:p w:rsidR="00000000" w:rsidRPr="00A55C51" w:rsidP="00A55C51">
            <w:pPr>
              <w:pStyle w:val="BodyText"/>
            </w:pPr>
            <w:r w:rsidRPr="00A55C51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A55C51" w:rsidP="00A55C51">
            <w:pPr>
              <w:pStyle w:val="BodyText"/>
            </w:pPr>
            <w:r w:rsidRPr="00A55C51">
              <w:t>Any alteration to this unit</w:t>
            </w:r>
            <w:r w:rsidRPr="00A55C51">
              <w:t xml:space="preserve"> would result in a unit that would not be acceptable to work health and safety (WHS)/occupational health and safety (OHS) regulators for the purpose of licensing.</w:t>
            </w:r>
          </w:p>
        </w:tc>
      </w:tr>
    </w:tbl>
    <w:p w:rsidR="004C4DA8" w:rsidP="00A55C51">
      <w:pPr>
        <w:pStyle w:val="BodyText"/>
      </w:pP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3" w:name="O_829130"/>
      <w:bookmarkEnd w:id="3"/>
      <w:r w:rsidRPr="00A55C51">
        <w:t>Pre-requisite Unit</w:t>
      </w:r>
    </w:p>
    <w:p w:rsidR="00000000" w:rsidRPr="00A55C51" w:rsidP="00A55C51">
      <w:pPr>
        <w:pStyle w:val="BodyText"/>
      </w:pPr>
      <w:r w:rsidRPr="00A55C51">
        <w:t>Not applicable.</w:t>
      </w:r>
    </w:p>
    <w:p w:rsidR="00000000" w:rsidRPr="00A55C51" w:rsidP="00A55C51">
      <w:pPr>
        <w:pStyle w:val="AllowPageBreak"/>
      </w:pPr>
    </w:p>
    <w:p w:rsidR="00000000" w:rsidRPr="00A55C51" w:rsidP="00A55C51">
      <w:pPr>
        <w:pStyle w:val="Heading1"/>
      </w:pPr>
      <w:bookmarkStart w:id="4" w:name="O_829131"/>
      <w:bookmarkEnd w:id="4"/>
      <w:r w:rsidRPr="00A55C51">
        <w:t>Competency Field</w:t>
      </w:r>
    </w:p>
    <w:p w:rsidR="004C4DA8" w:rsidP="00A55C51">
      <w:pPr>
        <w:pStyle w:val="BodyText"/>
      </w:pPr>
      <w:r w:rsidRPr="00A55C51">
        <w:t xml:space="preserve">LIC </w:t>
      </w:r>
      <w:r w:rsidRPr="00A55C51">
        <w:t xml:space="preserve">– Licensing </w:t>
      </w: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5" w:name="O_829132"/>
      <w:bookmarkEnd w:id="5"/>
      <w:r w:rsidRPr="00A55C51">
        <w:t>Unit Sector</w:t>
      </w:r>
    </w:p>
    <w:p w:rsidR="004C4DA8" w:rsidP="00A55C51">
      <w:pPr>
        <w:pStyle w:val="BodyText"/>
      </w:pPr>
      <w:r w:rsidRPr="00A55C51">
        <w:t>Not applicable.</w:t>
      </w: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6" w:name="O_829133"/>
      <w:bookmarkEnd w:id="6"/>
      <w:r w:rsidRPr="00A55C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8"/>
        <w:gridCol w:w="1800"/>
        <w:gridCol w:w="1"/>
        <w:gridCol w:w="563"/>
        <w:gridCol w:w="1"/>
        <w:gridCol w:w="6483"/>
      </w:tblGrid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PERFORMANCE CRITERIA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Elements describe the essential outcomes.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Performance criteria describe the performance needed to demonstrate achievement of the element.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Potential workplace hazards are identified</w:t>
            </w:r>
            <w:r w:rsidRPr="00A55C51">
              <w:tab/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Hazard control measures are identified consistent with appropriate standards to ensure the safety of personnel and equipment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Weight of load is identified and estimated in consultation with associated personnel as required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Suitable lifting points on load are identified in consultation with associated personnel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Appropriate lifting equipment is obtained following consultation with associated personnel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capabilities are appropriate to the load/s, working cond</w:t>
            </w:r>
            <w:r w:rsidRPr="00A55C51">
              <w:t>itions and environmental conditions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Appropriate paths for moving loads in the work area are inspected and determined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1.8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Appropriate communication methods are identified with associated personnel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visually checked for any damage or defects</w:t>
            </w:r>
            <w:r w:rsidRPr="00A55C51">
              <w:tab/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signage and labels are visible and legible in accordance with the appropriate standard.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Routine pre-operational crane checks are carried out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controls are located and identified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service logbook is checked for compliance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started in accordance with procedures and checked for any abnormal noises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crane safety devices are tested in accordance with procedure</w:t>
            </w:r>
            <w:r w:rsidRPr="00A55C51">
              <w:t>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Post-start operational checks are carried out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communication equipment is checked for serviceability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2.10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damage and defects are reported and recorded in accordance with procedures, and appropriate action is taken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Set up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 xml:space="preserve">Ground suitability is checked </w:t>
            </w:r>
            <w:r w:rsidRPr="00A55C51">
              <w:tab/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driven to work area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positioned for work application and stability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Outriggers/stabilisers are deployed and locked in accordance with manufacturer instructions, and required type and amount of padding material or plates is determine</w:t>
            </w:r>
            <w:r w:rsidRPr="00A55C51">
              <w:t>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Boom/jib and configuration data is input into the crane computer as required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Appropriate hazard prevention/control measures are applied to work area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communications equipment is tested for functionality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Lifting equipment is prepared for load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3.9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Load destination is prepared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Transfer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 xml:space="preserve">Loads are determined within crane capacity 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Boom/jib and hoist block is positioned over load following directions from associated personnel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Lifting equipment is attached and secured using defined techniques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 xml:space="preserve">Test lift is carried out in accordance with procedures to allow for checks to be safely made, in consultation with relevant personnel 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Loads are transferred using all relevant crane movements in accordance with procedures and the appropriate standar</w:t>
            </w:r>
            <w:r w:rsidRPr="00A55C51">
              <w:t>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All required communication signals are correctly interpreted in accordance with procedures and the appropriate standard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Load is landed ensuring stability and security from movement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 xml:space="preserve">Lifting equipment is removed or disconnected from load and/or lifting hook in accordance with procedures 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operated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Load movement is monitored constantly, ensuring safety of personnel and load, and crane</w:t>
            </w:r>
            <w:r w:rsidRPr="00A55C51">
              <w:t xml:space="preserve"> stability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4.11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Unplanned and/or unsafe situations are responded to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boom/jib and equipment are stowed and secured in accordance with procedures and the appropriate standard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Relevant motion locks and brakes are applied as required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Outriggers/stabilisers are stowed and secured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Plates or packing are stowed and secured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Crane is shut down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Routine post-operational crane checks are carried out in accordance with procedures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Lifting equipment is stored in accordance with procedures and the appropriate standards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5.8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t>All damage and defects are reported and recorded in accordance with procedures, and appropriate action is taken</w:t>
            </w:r>
          </w:p>
        </w:tc>
      </w:tr>
    </w:tbl>
    <w:p w:rsidR="004C4DA8" w:rsidP="00A55C51">
      <w:pPr>
        <w:pStyle w:val="BodyText"/>
      </w:pP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7" w:name="O_829134"/>
      <w:bookmarkEnd w:id="7"/>
      <w:r w:rsidRPr="00A55C51">
        <w:t>Foundation Skills</w:t>
      </w:r>
    </w:p>
    <w:p w:rsidR="00000000" w:rsidRPr="00A55C51" w:rsidP="00A55C51">
      <w:pPr>
        <w:pStyle w:val="BodyText"/>
      </w:pPr>
      <w:r w:rsidRPr="00A55C51">
        <w:t>The language, literacy, numeracy and employment skills that are essential to performance that are not expl</w:t>
      </w:r>
      <w:r w:rsidRPr="00A55C51">
        <w:t>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2"/>
        <w:gridCol w:w="7544"/>
      </w:tblGrid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BodyText"/>
            </w:pPr>
            <w:r w:rsidRPr="00A55C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rPr>
                <w:rStyle w:val="SpecialBold"/>
              </w:rPr>
              <w:t>Performance feature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>operate a vehicle loading crane with a capacity of 10 metre tonnes and above in different types of workplaces, transferring key principles of safe operation to different c</w:t>
            </w:r>
            <w:r w:rsidRPr="00A55C51">
              <w:t>ontexts</w:t>
            </w:r>
          </w:p>
          <w:p w:rsidR="00000000" w:rsidP="00A55C51">
            <w:pPr>
              <w:pStyle w:val="ListBullet"/>
              <w:rPr>
                <w:lang w:val="en-NZ"/>
              </w:rPr>
            </w:pPr>
            <w:r w:rsidRPr="00A55C51">
              <w:t>improve own performance in safely and efficiently operating a vehicle loading crane by incorporating learnings from different workplaces and different conditions into current performance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>interpret numerical information including:</w:t>
            </w:r>
          </w:p>
          <w:p w:rsidR="00000000" w:rsidRPr="00A55C51" w:rsidP="00A55C51">
            <w:pPr>
              <w:pStyle w:val="ListBullet2"/>
            </w:pPr>
            <w:r w:rsidRPr="00A55C51">
              <w:t>selecting appropriate vehicle loading crane in accordance with load and workplace conditions</w:t>
            </w:r>
          </w:p>
          <w:p w:rsidR="00000000" w:rsidRPr="00A55C51" w:rsidP="00A55C51">
            <w:pPr>
              <w:pStyle w:val="ListBullet2"/>
            </w:pPr>
            <w:r w:rsidRPr="00A55C51">
              <w:t xml:space="preserve">load weight assessment, to ensure compliance with vehicle loading crane data plate specifications </w:t>
            </w:r>
          </w:p>
          <w:p w:rsidR="00000000" w:rsidP="00A55C51">
            <w:pPr>
              <w:pStyle w:val="ListBullet2"/>
              <w:rPr>
                <w:lang w:val="en-NZ"/>
              </w:rPr>
            </w:pPr>
            <w:r w:rsidRPr="00A55C51">
              <w:t>controlling and moni</w:t>
            </w:r>
            <w:r w:rsidRPr="00A55C51">
              <w:t>toring instrument readings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>use and interpret vocabulary specific to vehicle loading crane operations and workplace procedures to communicate with other workplace personnel</w:t>
            </w:r>
          </w:p>
          <w:p w:rsidR="00000000" w:rsidRPr="00A55C51" w:rsidP="00A55C51">
            <w:pPr>
              <w:pStyle w:val="ListBullet"/>
            </w:pPr>
            <w:r w:rsidRPr="00A55C51">
              <w:t>use non-verbal feedback to support effective communication</w:t>
            </w:r>
          </w:p>
          <w:p w:rsidR="00000000" w:rsidP="00A55C51">
            <w:pPr>
              <w:pStyle w:val="ListBullet"/>
              <w:rPr>
                <w:lang w:val="en-NZ"/>
              </w:rPr>
            </w:pPr>
            <w:r w:rsidRPr="00A55C51">
              <w:t xml:space="preserve">use relevant two-way radio conventions 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>interpret documentation that includes technical specificity including:</w:t>
            </w:r>
          </w:p>
          <w:p w:rsidR="00000000" w:rsidRPr="00A55C51" w:rsidP="00A55C51">
            <w:pPr>
              <w:pStyle w:val="ListBullet2"/>
            </w:pPr>
            <w:r w:rsidRPr="00A55C51">
              <w:t>vehicle loading crane data plate</w:t>
            </w:r>
          </w:p>
          <w:p w:rsidR="00000000" w:rsidRPr="00A55C51" w:rsidP="00A55C51">
            <w:pPr>
              <w:pStyle w:val="ListBullet2"/>
            </w:pPr>
            <w:r w:rsidRPr="00A55C51">
              <w:t>plant operation manuals and manufacturer specifications</w:t>
            </w:r>
          </w:p>
          <w:p w:rsidR="00000000" w:rsidRPr="00A55C51" w:rsidP="00A55C51">
            <w:pPr>
              <w:pStyle w:val="ListBullet2"/>
            </w:pPr>
            <w:r w:rsidRPr="00A55C51">
              <w:t>workplace procedures, including emergency plan</w:t>
            </w:r>
          </w:p>
          <w:p w:rsidR="00000000" w:rsidP="00A55C51">
            <w:pPr>
              <w:pStyle w:val="ListBullet2"/>
              <w:rPr>
                <w:lang w:val="en-NZ"/>
              </w:rPr>
            </w:pPr>
            <w:r w:rsidRPr="00A55C51">
              <w:t>workplace signage and labels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>accurately record and maintain information relating to operating a vehicle loading crane, including:</w:t>
            </w:r>
          </w:p>
          <w:p w:rsidR="00000000" w:rsidRPr="00A55C51" w:rsidP="00A55C51">
            <w:pPr>
              <w:pStyle w:val="ListBullet2"/>
            </w:pPr>
            <w:r w:rsidRPr="00A55C51">
              <w:t>incident reports</w:t>
            </w:r>
          </w:p>
          <w:p w:rsidR="00000000" w:rsidP="00A55C51">
            <w:pPr>
              <w:pStyle w:val="ListBullet2"/>
              <w:rPr>
                <w:lang w:val="en-NZ"/>
              </w:rPr>
            </w:pPr>
            <w:r w:rsidRPr="00A55C51">
              <w:t>vehicle checking and maintena</w:t>
            </w:r>
            <w:r w:rsidRPr="00A55C51">
              <w:t>nce records</w:t>
            </w:r>
          </w:p>
        </w:tc>
      </w:tr>
      <w:tr w:rsidTr="004C4D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C51">
            <w:pPr>
              <w:pStyle w:val="BodyText"/>
              <w:rPr>
                <w:lang w:val="en-NZ"/>
              </w:rPr>
            </w:pPr>
            <w:r w:rsidRPr="00A55C51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C51" w:rsidP="00A55C51">
            <w:pPr>
              <w:pStyle w:val="ListBullet"/>
            </w:pPr>
            <w:r w:rsidRPr="00A55C51">
              <w:t xml:space="preserve">implement risk control measures </w:t>
            </w:r>
          </w:p>
          <w:p w:rsidR="00000000" w:rsidRPr="00A55C51" w:rsidP="00A55C51">
            <w:pPr>
              <w:pStyle w:val="ListBullet"/>
            </w:pPr>
            <w:r w:rsidRPr="00A55C51">
              <w:t>initiate emergency management strategies</w:t>
            </w:r>
          </w:p>
        </w:tc>
      </w:tr>
    </w:tbl>
    <w:p w:rsidR="00000000" w:rsidRPr="00A55C51" w:rsidP="00A55C51">
      <w:pPr>
        <w:pStyle w:val="BodyText"/>
      </w:pPr>
    </w:p>
    <w:p w:rsidR="00000000" w:rsidRPr="00A55C51" w:rsidP="00A55C51">
      <w:pPr>
        <w:pStyle w:val="AllowPageBreak"/>
      </w:pPr>
    </w:p>
    <w:p w:rsidR="00000000" w:rsidRPr="00A55C51" w:rsidP="00A55C51">
      <w:pPr>
        <w:pStyle w:val="Heading1"/>
      </w:pPr>
      <w:bookmarkStart w:id="8" w:name="O_829135"/>
      <w:bookmarkEnd w:id="8"/>
      <w:r w:rsidRPr="00A55C51">
        <w:t>Range of Conditions</w:t>
      </w:r>
    </w:p>
    <w:p w:rsidR="00000000" w:rsidRPr="00A55C51" w:rsidP="00A55C51">
      <w:pPr>
        <w:pStyle w:val="BodyText"/>
      </w:pPr>
      <w:r w:rsidRPr="00A55C51">
        <w:t>Range is restricted to essentia</w:t>
      </w:r>
      <w:r w:rsidRPr="00A55C51">
        <w:t>l operating conditions and any other variables essential to the work environment.</w:t>
      </w:r>
    </w:p>
    <w:p w:rsidR="004C4DA8" w:rsidP="00A55C51">
      <w:pPr>
        <w:pStyle w:val="BodyText"/>
      </w:pPr>
      <w:r w:rsidRPr="00A55C51">
        <w:t>Non-essential conditions can be found in the Companion Volume Implementation Guide.</w:t>
      </w: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9" w:name="O_829136"/>
      <w:bookmarkEnd w:id="9"/>
      <w:r w:rsidRPr="00A55C51">
        <w:t>Unit Mapping Information</w:t>
      </w:r>
    </w:p>
    <w:p w:rsidR="004C4DA8" w:rsidP="00A55C51">
      <w:pPr>
        <w:pStyle w:val="BodyText"/>
      </w:pPr>
      <w:r w:rsidRPr="00A55C51">
        <w:t xml:space="preserve">This unit is equivalent to TLILIC0012A Licence </w:t>
      </w:r>
      <w:r w:rsidRPr="00A55C51">
        <w:t>to operate a vehicle loading crane (capacity 10 metre tonnes and above).</w:t>
      </w:r>
    </w:p>
    <w:p w:rsidR="004C4DA8" w:rsidP="00A55C51">
      <w:pPr>
        <w:pStyle w:val="BodyText"/>
      </w:pPr>
    </w:p>
    <w:p w:rsidR="00000000" w:rsidRPr="00A55C51" w:rsidP="00A55C51">
      <w:pPr>
        <w:pStyle w:val="Heading1"/>
      </w:pPr>
      <w:bookmarkStart w:id="10" w:name="O_829143"/>
      <w:bookmarkEnd w:id="10"/>
      <w:r w:rsidRPr="00A55C51">
        <w:t>Links</w:t>
      </w:r>
    </w:p>
    <w:p w:rsidR="00000000" w:rsidRPr="00A55C51" w:rsidP="00A55C51">
      <w:pPr>
        <w:pStyle w:val="BodyText"/>
      </w:pPr>
      <w:r w:rsidRPr="00A55C51">
        <w:t>Companion Volume implementation guides are found in VETNet - https://vetnet.education.gov.au/Pages/TrainingDocs.aspx?q=df441c6e-213d-43e3-874c-0b3f7036d851</w:t>
      </w:r>
    </w:p>
    <w:p w:rsidR="00000000" w:rsidRPr="00A55C51" w:rsidP="00A55C51"/>
    <w:sectPr w:rsidSect="00A55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51" w:rsidRPr="004C4DA8" w:rsidP="004C4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A8" w:rsidP="00A55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DA8" w:rsidP="00A55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4DA8" w:rsidP="00A55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C51" w:rsidRPr="004C4DA8" w:rsidP="004C4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A8" w:rsidRPr="002D2AF8" w:rsidP="00A55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TLILIC0012 Licence to operate a vehicle loading crane (capacity 10 metre tonnes and above)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4C4DA8" w:rsidP="00A55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263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67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7A4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C51"/>
  </w:style>
  <w:style w:type="character" w:customStyle="1" w:styleId="Heading1Char">
    <w:name w:val="Heading 1 Char"/>
    <w:basedOn w:val="DefaultParagraphFont"/>
    <w:link w:val="Heading1"/>
    <w:rsid w:val="00A55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C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C51"/>
    <w:rPr>
      <w:b/>
      <w:spacing w:val="0"/>
    </w:rPr>
  </w:style>
  <w:style w:type="paragraph" w:styleId="ListBullet2">
    <w:name w:val="List Bullet 2"/>
    <w:basedOn w:val="List2"/>
    <w:rsid w:val="00A55C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5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C51"/>
    <w:rPr>
      <w:i/>
    </w:rPr>
  </w:style>
  <w:style w:type="paragraph" w:styleId="Caption">
    <w:name w:val="caption"/>
    <w:basedOn w:val="BodyText"/>
    <w:next w:val="Normal"/>
    <w:qFormat/>
    <w:rsid w:val="00A55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C51"/>
  </w:style>
  <w:style w:type="paragraph" w:styleId="TableofFigures">
    <w:name w:val="table of figures"/>
    <w:basedOn w:val="Normal"/>
    <w:next w:val="Normal"/>
    <w:semiHidden/>
    <w:rsid w:val="00A55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C51"/>
    <w:pPr>
      <w:numPr>
        <w:numId w:val="11"/>
      </w:numPr>
    </w:pPr>
  </w:style>
  <w:style w:type="character" w:customStyle="1" w:styleId="WingdingSymbols">
    <w:name w:val="Wingding Symbols"/>
    <w:rsid w:val="00A55C51"/>
    <w:rPr>
      <w:rFonts w:ascii="Wingdings" w:hAnsi="Wingdings"/>
    </w:rPr>
  </w:style>
  <w:style w:type="paragraph" w:customStyle="1" w:styleId="TableHeading">
    <w:name w:val="Table Heading"/>
    <w:basedOn w:val="HeadingBase"/>
    <w:rsid w:val="00A55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C51"/>
    <w:rPr>
      <w:color w:val="0033CC"/>
      <w:u w:val="none"/>
    </w:rPr>
  </w:style>
  <w:style w:type="paragraph" w:customStyle="1" w:styleId="BodyTextRight">
    <w:name w:val="Body Text Right"/>
    <w:basedOn w:val="BodyText"/>
    <w:rsid w:val="00A55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C51"/>
    <w:rPr>
      <w:sz w:val="32"/>
    </w:rPr>
  </w:style>
  <w:style w:type="paragraph" w:customStyle="1" w:styleId="HeadingProcedure">
    <w:name w:val="Heading Procedure"/>
    <w:basedOn w:val="HeadingBase"/>
    <w:next w:val="Normal"/>
    <w:rsid w:val="00A55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C51"/>
    <w:pPr>
      <w:spacing w:before="60" w:after="60"/>
    </w:pPr>
  </w:style>
  <w:style w:type="paragraph" w:styleId="ListContinue">
    <w:name w:val="List Continue"/>
    <w:basedOn w:val="List"/>
    <w:rsid w:val="00A55C51"/>
    <w:pPr>
      <w:ind w:firstLine="0"/>
    </w:pPr>
  </w:style>
  <w:style w:type="paragraph" w:customStyle="1" w:styleId="ListNote">
    <w:name w:val="List Note"/>
    <w:basedOn w:val="List"/>
    <w:rsid w:val="00A55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C51"/>
    <w:rPr>
      <w:rFonts w:ascii="Courier New" w:hAnsi="Courier New"/>
    </w:rPr>
  </w:style>
  <w:style w:type="paragraph" w:customStyle="1" w:styleId="NoteBullet">
    <w:name w:val="Note Bullet"/>
    <w:basedOn w:val="Note"/>
    <w:rsid w:val="00A55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C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5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C51"/>
    <w:rPr>
      <w:b/>
      <w:smallCaps/>
    </w:rPr>
  </w:style>
  <w:style w:type="paragraph" w:customStyle="1" w:styleId="TableListNumber">
    <w:name w:val="Table List Number"/>
    <w:basedOn w:val="ListNumber"/>
    <w:rsid w:val="00A55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C51"/>
    <w:pPr>
      <w:numPr>
        <w:numId w:val="9"/>
      </w:numPr>
    </w:pPr>
  </w:style>
  <w:style w:type="paragraph" w:customStyle="1" w:styleId="ListAlpha2">
    <w:name w:val="List Alpha 2"/>
    <w:basedOn w:val="List2"/>
    <w:rsid w:val="00A55C51"/>
    <w:pPr>
      <w:numPr>
        <w:numId w:val="8"/>
      </w:numPr>
    </w:pPr>
  </w:style>
  <w:style w:type="paragraph" w:styleId="List2">
    <w:name w:val="List 2"/>
    <w:basedOn w:val="BodyText"/>
    <w:rsid w:val="00A55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C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C51"/>
    <w:pPr>
      <w:numPr>
        <w:numId w:val="4"/>
      </w:numPr>
    </w:pPr>
  </w:style>
  <w:style w:type="paragraph" w:styleId="ListContinue2">
    <w:name w:val="List Continue 2"/>
    <w:basedOn w:val="List2"/>
    <w:rsid w:val="00A55C51"/>
    <w:pPr>
      <w:ind w:firstLine="0"/>
    </w:pPr>
  </w:style>
  <w:style w:type="paragraph" w:styleId="ListContinue3">
    <w:name w:val="List Continue 3"/>
    <w:basedOn w:val="List3"/>
    <w:rsid w:val="00A55C51"/>
    <w:pPr>
      <w:ind w:left="1021" w:firstLine="0"/>
    </w:pPr>
  </w:style>
  <w:style w:type="paragraph" w:styleId="ListContinue4">
    <w:name w:val="List Continue 4"/>
    <w:basedOn w:val="List4"/>
    <w:rsid w:val="00A55C51"/>
    <w:pPr>
      <w:ind w:firstLine="0"/>
    </w:pPr>
  </w:style>
  <w:style w:type="paragraph" w:styleId="ListContinue5">
    <w:name w:val="List Continue 5"/>
    <w:basedOn w:val="List5"/>
    <w:rsid w:val="00A55C51"/>
    <w:pPr>
      <w:ind w:firstLine="0"/>
    </w:pPr>
  </w:style>
  <w:style w:type="paragraph" w:styleId="ListNumber3">
    <w:name w:val="List Number 3"/>
    <w:basedOn w:val="List3"/>
    <w:rsid w:val="00A55C51"/>
    <w:pPr>
      <w:numPr>
        <w:numId w:val="5"/>
      </w:numPr>
    </w:pPr>
  </w:style>
  <w:style w:type="paragraph" w:styleId="ListNumber4">
    <w:name w:val="List Number 4"/>
    <w:basedOn w:val="List4"/>
    <w:rsid w:val="00A55C51"/>
    <w:pPr>
      <w:numPr>
        <w:numId w:val="6"/>
      </w:numPr>
    </w:pPr>
  </w:style>
  <w:style w:type="paragraph" w:styleId="ListNumber5">
    <w:name w:val="List Number 5"/>
    <w:basedOn w:val="List5"/>
    <w:rsid w:val="00A55C51"/>
    <w:pPr>
      <w:numPr>
        <w:numId w:val="7"/>
      </w:numPr>
    </w:pPr>
  </w:style>
  <w:style w:type="paragraph" w:styleId="BlockText">
    <w:name w:val="Block Text"/>
    <w:basedOn w:val="Normal"/>
    <w:rsid w:val="00A55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C51"/>
    <w:rPr>
      <w:sz w:val="16"/>
      <w:vertAlign w:val="superscript"/>
    </w:rPr>
  </w:style>
  <w:style w:type="character" w:customStyle="1" w:styleId="Symbols">
    <w:name w:val="Symbols"/>
    <w:basedOn w:val="DefaultParagraphFont"/>
    <w:rsid w:val="00A55C51"/>
    <w:rPr>
      <w:rFonts w:ascii="Symbol" w:hAnsi="Symbol"/>
    </w:rPr>
  </w:style>
  <w:style w:type="character" w:customStyle="1" w:styleId="MenuOptions">
    <w:name w:val="Menu Options"/>
    <w:basedOn w:val="DefaultParagraphFont"/>
    <w:rsid w:val="00A55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C51"/>
    <w:rPr>
      <w:b/>
    </w:rPr>
  </w:style>
  <w:style w:type="character" w:customStyle="1" w:styleId="Underlined">
    <w:name w:val="Underlined"/>
    <w:basedOn w:val="DefaultParagraphFont"/>
    <w:rsid w:val="00A55C51"/>
    <w:rPr>
      <w:u w:val="single"/>
    </w:rPr>
  </w:style>
  <w:style w:type="paragraph" w:customStyle="1" w:styleId="TableBodyTextRight">
    <w:name w:val="Table Body Text Right"/>
    <w:basedOn w:val="TableBodyText"/>
    <w:rsid w:val="00A55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C51"/>
    <w:rPr>
      <w:sz w:val="18"/>
    </w:rPr>
  </w:style>
  <w:style w:type="paragraph" w:customStyle="1" w:styleId="BodySmallRight">
    <w:name w:val="Body Small Right"/>
    <w:basedOn w:val="BodyTextRight"/>
    <w:rsid w:val="00A55C51"/>
    <w:rPr>
      <w:sz w:val="18"/>
      <w:szCs w:val="18"/>
    </w:rPr>
  </w:style>
  <w:style w:type="paragraph" w:customStyle="1" w:styleId="MarginEdition">
    <w:name w:val="Margin Edition"/>
    <w:basedOn w:val="MarginNote"/>
    <w:rsid w:val="00A55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C51"/>
    <w:rPr>
      <w:sz w:val="2"/>
      <w:szCs w:val="2"/>
    </w:rPr>
  </w:style>
  <w:style w:type="character" w:customStyle="1" w:styleId="Small">
    <w:name w:val="Small"/>
    <w:basedOn w:val="DefaultParagraphFont"/>
    <w:rsid w:val="00A55C51"/>
    <w:rPr>
      <w:sz w:val="16"/>
    </w:rPr>
  </w:style>
  <w:style w:type="paragraph" w:customStyle="1" w:styleId="WideTable">
    <w:name w:val="Wide Table"/>
    <w:basedOn w:val="Normal"/>
    <w:rsid w:val="00A55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C51"/>
  </w:style>
  <w:style w:type="paragraph" w:styleId="Quote">
    <w:name w:val="Quote"/>
    <w:basedOn w:val="Heading1"/>
    <w:link w:val="QuoteChar"/>
    <w:qFormat/>
    <w:rsid w:val="00A55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C51"/>
    <w:pPr>
      <w:pageBreakBefore/>
    </w:pPr>
  </w:style>
  <w:style w:type="paragraph" w:customStyle="1" w:styleId="Border">
    <w:name w:val="Border"/>
    <w:basedOn w:val="Normal"/>
    <w:qFormat/>
    <w:rsid w:val="00A55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C51"/>
    <w:rPr>
      <w:u w:val="single"/>
    </w:rPr>
  </w:style>
  <w:style w:type="character" w:customStyle="1" w:styleId="BoldandItalics">
    <w:name w:val="Bold and Italics"/>
    <w:qFormat/>
    <w:rsid w:val="00A55C51"/>
    <w:rPr>
      <w:b/>
      <w:i/>
      <w:u w:val="none"/>
    </w:rPr>
  </w:style>
  <w:style w:type="paragraph" w:styleId="BalloonText">
    <w:name w:val="Balloon Text"/>
    <w:basedOn w:val="Normal"/>
    <w:link w:val="BalloonTextChar"/>
    <w:rsid w:val="00A55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C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1150</Words>
  <Characters>6877</Characters>
  <Application>Microsoft Office Word</Application>
  <DocSecurity>0</DocSecurity>
  <Lines>303</Lines>
  <Paragraphs>163</Paragraphs>
  <ScaleCrop>false</ScaleCrop>
  <Company>Author-it Software Corporation Ltd.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TLILIC0012 Licence to operate a vehicle loading crane (capacity 10 metre tonnes and above)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2018-09-05T05:55:00Z</dcterms:created>
  <dcterms:modified xsi:type="dcterms:W3CDTF">2018-09-05T05:55:00Z</dcterms:modified>
</cp:coreProperties>
</file>