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0B7C" w:rsidP="009F0B7C">
      <w:pPr>
        <w:pStyle w:val="Title"/>
      </w:pPr>
      <w:r>
        <w:fldChar w:fldCharType="begin"/>
      </w:r>
      <w:r>
        <w:instrText xml:space="preserve"> TITLE   \* MERGEFORMAT </w:instrText>
      </w:r>
      <w:r>
        <w:fldChar w:fldCharType="separate"/>
      </w:r>
      <w:r>
        <w:t>TLILIC0011 Licence to operate a reach stacker (greater than 3 tonnes capacity)</w:t>
      </w:r>
      <w:r>
        <w:fldChar w:fldCharType="end"/>
      </w:r>
    </w:p>
    <w:p w:rsidR="009F0B7C" w:rsidP="009F0B7C">
      <w:pPr>
        <w:pStyle w:val="Version"/>
        <w:sectPr w:rsidSect="0015120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51207" w:rsidP="00151207">
      <w:pPr>
        <w:pStyle w:val="SuperHeading"/>
      </w:pPr>
      <w:r w:rsidRPr="00151207">
        <w:t>TLILIC0011 Licence to operate a reach stacker (greater than 3 tonnes capacity)</w:t>
      </w:r>
    </w:p>
    <w:p w:rsidR="00000000" w:rsidRPr="00151207" w:rsidP="00151207">
      <w:pPr>
        <w:pStyle w:val="Heading1"/>
      </w:pPr>
      <w:bookmarkStart w:id="1" w:name="O_1000904"/>
      <w:bookmarkEnd w:id="1"/>
      <w:r w:rsidRPr="00151207">
        <w:t>Modification History</w:t>
      </w:r>
    </w:p>
    <w:tbl>
      <w:tblPr>
        <w:tblW w:w="9497" w:type="dxa"/>
        <w:tblLayout w:type="fixed"/>
        <w:tblCellMar>
          <w:left w:w="62" w:type="dxa"/>
          <w:right w:w="62" w:type="dxa"/>
        </w:tblCellMar>
        <w:tblLook w:val="0000"/>
      </w:tblPr>
      <w:tblGrid>
        <w:gridCol w:w="9497"/>
      </w:tblGrid>
      <w:tr w:rsidTr="0015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Release 1. This is the first release of this unit of competency in the TLI Transport and Logistics Training Package.</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2" w:name="O_1000905"/>
      <w:bookmarkEnd w:id="2"/>
      <w:r w:rsidRPr="00151207">
        <w:t>Application</w:t>
      </w:r>
    </w:p>
    <w:tbl>
      <w:tblPr>
        <w:tblW w:w="9497" w:type="dxa"/>
        <w:tblLayout w:type="fixed"/>
        <w:tblCellMar>
          <w:left w:w="62" w:type="dxa"/>
          <w:right w:w="62" w:type="dxa"/>
        </w:tblCellMar>
        <w:tblLook w:val="0000"/>
      </w:tblPr>
      <w:tblGrid>
        <w:gridCol w:w="9497"/>
      </w:tblGrid>
      <w:tr w:rsidTr="0015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This unit specifies the skills and knowledge required to operate a reach stacker with a Maximum Rated Capacity (MRC) exceeding 3 tonnes safely, in accordance with all relevant legislative responsibilities.  Competence in this unit, doe</w:t>
            </w:r>
            <w:r w:rsidRPr="00151207">
              <w:t>s not in itself result in a HRWL licence to operate this plant.</w:t>
            </w:r>
          </w:p>
          <w:p w:rsidR="00000000" w:rsidRPr="00151207" w:rsidP="00151207">
            <w:pPr>
              <w:pStyle w:val="BodyText"/>
            </w:pPr>
            <w:r w:rsidRPr="00151207">
              <w:t>Reach stacker means a powered reach stacker that incorporates an attachment for lifting and lowering a shipping container.</w:t>
            </w:r>
          </w:p>
          <w:p w:rsidR="00000000" w:rsidRPr="00151207" w:rsidP="00151207">
            <w:pPr>
              <w:pStyle w:val="BodyText"/>
            </w:pPr>
            <w:r w:rsidRPr="00151207">
              <w:t>This unit applies to the activities of a person operating a reach sta</w:t>
            </w:r>
            <w:r w:rsidRPr="00151207">
              <w:t>cker greater than 3 tonnes capacity that incorporates an attachment for lifting, moving and travelling with a shipping container (not including a shore based container handling gantry crane).</w:t>
            </w:r>
          </w:p>
          <w:p w:rsidR="00000000" w:rsidRPr="00151207" w:rsidP="00151207">
            <w:pPr>
              <w:pStyle w:val="BodyText"/>
            </w:pPr>
            <w:r w:rsidRPr="00151207">
              <w:t>A person performing this work is required to hold a reach stacke</w:t>
            </w:r>
            <w:r w:rsidRPr="00151207">
              <w:t>r High-Risk Work Licence (HRWL)</w:t>
            </w:r>
          </w:p>
          <w:p w:rsidR="00000000" w:rsidRPr="00151207" w:rsidP="00151207">
            <w:pPr>
              <w:pStyle w:val="BodyText"/>
            </w:pPr>
            <w:r w:rsidRPr="00151207">
              <w:t>This unit requires a person operating reach stacker with an MRC exceeding 3 tonnes to:</w:t>
            </w:r>
          </w:p>
          <w:p w:rsidR="00000000" w:rsidRPr="00151207" w:rsidP="00151207">
            <w:pPr>
              <w:pStyle w:val="ListBullet"/>
            </w:pPr>
            <w:r w:rsidRPr="00151207">
              <w:t>plan the work/task</w:t>
            </w:r>
          </w:p>
          <w:p w:rsidR="00000000" w:rsidRPr="00151207" w:rsidP="00151207">
            <w:pPr>
              <w:pStyle w:val="ListBullet"/>
            </w:pPr>
            <w:r w:rsidRPr="00151207">
              <w:t>prepare for the work/task</w:t>
            </w:r>
          </w:p>
          <w:p w:rsidR="00000000" w:rsidRPr="00151207" w:rsidP="00151207">
            <w:pPr>
              <w:pStyle w:val="ListBullet"/>
            </w:pPr>
            <w:r w:rsidRPr="00151207">
              <w:t>perform work/task</w:t>
            </w:r>
          </w:p>
          <w:p w:rsidR="00000000" w:rsidRPr="00151207" w:rsidP="00151207">
            <w:pPr>
              <w:pStyle w:val="ListBullet"/>
            </w:pPr>
            <w:r w:rsidRPr="00151207">
              <w:t>Pack up</w:t>
            </w:r>
          </w:p>
          <w:p w:rsidR="00000000" w:rsidRPr="00151207" w:rsidP="00151207">
            <w:pPr>
              <w:pStyle w:val="BodyText"/>
            </w:pPr>
            <w:r w:rsidRPr="00151207">
              <w:rPr>
                <w:rStyle w:val="SpecialBold"/>
              </w:rPr>
              <w:t>Licensing/Regulatory Information</w:t>
            </w:r>
          </w:p>
          <w:p w:rsidR="00000000" w:rsidRPr="00151207" w:rsidP="00151207">
            <w:pPr>
              <w:pStyle w:val="BodyText"/>
            </w:pPr>
            <w:r w:rsidRPr="00151207">
              <w:t xml:space="preserve">Legislative and regulatory requirements are applicable to this unit of competency. </w:t>
            </w:r>
          </w:p>
          <w:p w:rsidR="00000000" w:rsidRPr="00151207" w:rsidP="00151207">
            <w:pPr>
              <w:pStyle w:val="BodyText"/>
            </w:pPr>
            <w:r w:rsidRPr="00151207">
              <w:t>This unit is based on the licensing requirements of Part 4.5 of the Model Work Health and Safety (WHS) Regulations and meets Commonwealth, State and Territory HRWL requirem</w:t>
            </w:r>
            <w:r w:rsidRPr="00151207">
              <w:t xml:space="preserve">ents. </w:t>
            </w:r>
          </w:p>
          <w:p w:rsidR="00000000" w:rsidRPr="00151207" w:rsidP="00151207">
            <w:pPr>
              <w:pStyle w:val="BodyText"/>
            </w:pPr>
            <w:r w:rsidRPr="00151207">
              <w:t xml:space="preserve">The National Assessment Instrument (NAI) is the mandated assessment for the HRWL to operate the relevant licencing class as detailed in this unit.  </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3" w:name="O_1000906"/>
      <w:bookmarkEnd w:id="3"/>
      <w:r w:rsidRPr="00151207">
        <w:t>Pre-requisite Unit</w:t>
      </w:r>
    </w:p>
    <w:tbl>
      <w:tblPr>
        <w:tblW w:w="9497" w:type="dxa"/>
        <w:tblLayout w:type="fixed"/>
        <w:tblCellMar>
          <w:left w:w="62" w:type="dxa"/>
          <w:right w:w="62" w:type="dxa"/>
        </w:tblCellMar>
        <w:tblLook w:val="0000"/>
      </w:tblPr>
      <w:tblGrid>
        <w:gridCol w:w="9497"/>
      </w:tblGrid>
      <w:tr w:rsidTr="0015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Not applicable</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4" w:name="O_1000907"/>
      <w:bookmarkEnd w:id="4"/>
      <w:r w:rsidRPr="00151207">
        <w:t>Competency Field</w:t>
      </w:r>
    </w:p>
    <w:tbl>
      <w:tblPr>
        <w:tblW w:w="9497" w:type="dxa"/>
        <w:tblLayout w:type="fixed"/>
        <w:tblCellMar>
          <w:left w:w="62" w:type="dxa"/>
          <w:right w:w="62" w:type="dxa"/>
        </w:tblCellMar>
        <w:tblLook w:val="0000"/>
      </w:tblPr>
      <w:tblGrid>
        <w:gridCol w:w="9497"/>
      </w:tblGrid>
      <w:tr w:rsidTr="0015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LIC - L</w:t>
            </w:r>
            <w:r w:rsidRPr="00151207">
              <w:t>icencing Units</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5" w:name="O_1000908"/>
      <w:bookmarkEnd w:id="5"/>
      <w:r w:rsidRPr="00151207">
        <w:t>Unit Sector</w:t>
      </w:r>
    </w:p>
    <w:tbl>
      <w:tblPr>
        <w:tblW w:w="9497" w:type="dxa"/>
        <w:tblLayout w:type="fixed"/>
        <w:tblCellMar>
          <w:left w:w="62" w:type="dxa"/>
          <w:right w:w="62" w:type="dxa"/>
        </w:tblCellMar>
        <w:tblLook w:val="0000"/>
      </w:tblPr>
      <w:tblGrid>
        <w:gridCol w:w="9497"/>
      </w:tblGrid>
      <w:tr w:rsidTr="0015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Not applicable</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6" w:name="O_1000909"/>
      <w:bookmarkEnd w:id="6"/>
      <w:r w:rsidRPr="00151207">
        <w:t>Elements and Performance Criteria</w:t>
      </w:r>
    </w:p>
    <w:tbl>
      <w:tblPr>
        <w:tblW w:w="9498" w:type="dxa"/>
        <w:tblLayout w:type="fixed"/>
        <w:tblCellMar>
          <w:left w:w="62" w:type="dxa"/>
          <w:right w:w="62" w:type="dxa"/>
        </w:tblCellMar>
        <w:tblLook w:val="0000"/>
      </w:tblPr>
      <w:tblGrid>
        <w:gridCol w:w="464"/>
        <w:gridCol w:w="2725"/>
        <w:gridCol w:w="716"/>
        <w:gridCol w:w="5593"/>
      </w:tblGrid>
      <w:tr w:rsidTr="00151207">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ELEMENTS</w:t>
            </w:r>
          </w:p>
        </w:tc>
        <w:tc>
          <w:tcPr>
            <w:tcW w:w="6309" w:type="dxa"/>
            <w:gridSpan w:val="2"/>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PERFORMANCE CRITERIA</w:t>
            </w:r>
          </w:p>
        </w:tc>
      </w:tr>
      <w:tr w:rsidTr="00151207">
        <w:tblPrEx>
          <w:tblW w:w="9498" w:type="dxa"/>
          <w:tblLayout w:type="fixed"/>
          <w:tblCellMar>
            <w:left w:w="62" w:type="dxa"/>
            <w:right w:w="62" w:type="dxa"/>
          </w:tblCellMar>
          <w:tblLook w:val="0000"/>
        </w:tblPrEx>
        <w:tc>
          <w:tcPr>
            <w:tcW w:w="3189" w:type="dxa"/>
            <w:gridSpan w:val="2"/>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Elements describe the essential outcomes.</w:t>
            </w:r>
          </w:p>
        </w:tc>
        <w:tc>
          <w:tcPr>
            <w:tcW w:w="6309" w:type="dxa"/>
            <w:gridSpan w:val="2"/>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Performance criteria describe the performance needed to demonstrate achievement of the element.</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1</w:t>
            </w:r>
          </w:p>
        </w:tc>
        <w:tc>
          <w:tcPr>
            <w:tcW w:w="2725"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Plan work/task</w:t>
            </w: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1.1</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Task requirements are identified from work orders or equivalent and confirmed with relevant people and site inspection is conducted in ac</w:t>
            </w:r>
            <w:r w:rsidRPr="00151207">
              <w:t>cordance with workplace procedures</w:t>
            </w:r>
          </w:p>
        </w:tc>
      </w:tr>
      <w:tr w:rsidTr="00151207">
        <w:tblPrEx>
          <w:tblW w:w="9498" w:type="dxa"/>
          <w:tblLayout w:type="fixed"/>
          <w:tblCellMar>
            <w:left w:w="62" w:type="dxa"/>
            <w:right w:w="62" w:type="dxa"/>
          </w:tblCellMar>
          <w:tblLook w:val="0000"/>
        </w:tblPrEx>
        <w:trPr>
          <w:trHeight w:val="107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1.2</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Work area operating surface is assessed to determine the quality of ground suitability for operational use of reach stacker in accordance with workplace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1.3</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Reach stacker MRC and Spreader/lifting gear Work Load Limit (WLL) is established for the Container/s and work/task requirements in accordance with manufacturer specifications and workplace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1.4</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Appropriate paths for operating the reach stacke</w:t>
            </w:r>
            <w:r w:rsidRPr="00151207">
              <w:t xml:space="preserve">r and moving and placing container/s in work area are assessed and determined in accordance with workplace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1.5</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Relevant hazard identification and risk elimination/control measures are applied and advised to relevant person/s in accordance wi</w:t>
            </w:r>
            <w:r w:rsidRPr="00151207">
              <w:t xml:space="preserve">th workplace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1.6</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Traffic management plan implementation is confirmed and understood in accordance with workplace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1.7</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Appropriate communication proc</w:t>
            </w:r>
            <w:r w:rsidRPr="00151207">
              <w:t xml:space="preserve">edures are identified and tested with associated personnel in accordance with workplace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1.8</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All tasks are confirmed to ensure requirements for the relevant work area is in accordance with workplace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2</w:t>
            </w:r>
          </w:p>
        </w:tc>
        <w:tc>
          <w:tcPr>
            <w:tcW w:w="2725"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Prepare for work/task</w:t>
            </w: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2.1</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Consultation with workplace personnel is established and maintained to ensure workplan is clear and consistent with site requirements in accordance with workplace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2.2</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Risk control measures for hazards identified are checked for implementation in accordance with legislative responsibilities and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2.3</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Reach stacker is accessed in a safe manner in accordance with manufacturer specifications and safe w</w:t>
            </w:r>
            <w:r w:rsidRPr="00151207">
              <w:t>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2.4</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Pre-start reach stacker checks are carried out and any damage and defects are reported, recorded and appropriate action is taken in accordance with manufacturer requirements and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2.5</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Reach stacker is started and</w:t>
            </w:r>
            <w:r w:rsidRPr="00151207">
              <w:t xml:space="preserve"> is checked for any abnormal noises/operation in accordance with manufacturer requirements and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2.6</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Operational checks are carried out and any damage and defects are reported, recorded and appropriate action is taken in accordance wi</w:t>
            </w:r>
            <w:r w:rsidRPr="00151207">
              <w:t>th manufacturer specifications and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2.7</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Reach stacker stability requirements for task are determined in accordance with relevant manufacturer specifications and safe work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2.8</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Reach Stacker logbook is checked to confirm current compliance, is correct for the reach stacker type, is completed and signed and required rectifications have been signed off in accordance with manufacturer requirements and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2.9</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W</w:t>
            </w:r>
            <w:r w:rsidRPr="00151207">
              <w:t>eather and work environment conditions are assessed to determine any impact on reach stacker operations in accordance with manufacturer requirements and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2.10</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Reach stacker is driven to work area and prepared for container operations</w:t>
            </w:r>
            <w:r w:rsidRPr="00151207">
              <w:t xml:space="preserve"> in accordance with relevant safe work procedures</w:t>
            </w:r>
          </w:p>
        </w:tc>
      </w:tr>
      <w:tr w:rsidTr="00151207">
        <w:tblPrEx>
          <w:tblW w:w="9498" w:type="dxa"/>
          <w:tblLayout w:type="fixed"/>
          <w:tblCellMar>
            <w:left w:w="62" w:type="dxa"/>
            <w:right w:w="62" w:type="dxa"/>
          </w:tblCellMar>
          <w:tblLook w:val="0000"/>
        </w:tblPrEx>
        <w:trPr>
          <w:trHeight w:val="851"/>
        </w:trPr>
        <w:tc>
          <w:tcPr>
            <w:tcW w:w="464"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3</w:t>
            </w:r>
          </w:p>
        </w:tc>
        <w:tc>
          <w:tcPr>
            <w:tcW w:w="2725"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 xml:space="preserve">Perform work/task </w:t>
            </w: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3.1</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Container lifts are determined within MRC of the reach stacker in accordance with safe work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3.2</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Container spreader is safely positioned over container following directions from associated personnel (if applicable) in accordance with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3.3</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Container spreader is latched onto container and reach stacker is stabilised appropriately </w:t>
            </w:r>
            <w:r w:rsidRPr="00151207">
              <w:t>in accordance with safe work procedures</w:t>
            </w:r>
          </w:p>
        </w:tc>
      </w:tr>
      <w:tr w:rsidTr="00151207">
        <w:tblPrEx>
          <w:tblW w:w="9498" w:type="dxa"/>
          <w:tblLayout w:type="fixed"/>
          <w:tblCellMar>
            <w:left w:w="62" w:type="dxa"/>
            <w:right w:w="62" w:type="dxa"/>
          </w:tblCellMar>
          <w:tblLook w:val="0000"/>
        </w:tblPrEx>
        <w:trPr>
          <w:trHeight w:val="868"/>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3.4</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Test lift is carried out in accordance with safe work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3.5</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Containers are mobiled safely using best mobile practice and relevant reach stacker movements in accordance with safe work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3.6</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Container and reach stacker movement is monitored constantly and operated in accordance with safe work procedures and manufacturer specifications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3.7</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All required communications signals are correctly interpreted, used and followed whilst reach sta</w:t>
            </w:r>
            <w:r w:rsidRPr="00151207">
              <w:t xml:space="preserve">cker is operated in accordance with safe work procedures </w:t>
            </w:r>
          </w:p>
        </w:tc>
      </w:tr>
      <w:tr w:rsidTr="00151207">
        <w:tblPrEx>
          <w:tblW w:w="9498" w:type="dxa"/>
          <w:tblLayout w:type="fixed"/>
          <w:tblCellMar>
            <w:left w:w="62" w:type="dxa"/>
            <w:right w:w="62" w:type="dxa"/>
          </w:tblCellMar>
          <w:tblLook w:val="0000"/>
        </w:tblPrEx>
        <w:trPr>
          <w:trHeight w:val="918"/>
        </w:trPr>
        <w:tc>
          <w:tcPr>
            <w:tcW w:w="464"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 </w:t>
            </w:r>
          </w:p>
        </w:tc>
        <w:tc>
          <w:tcPr>
            <w:tcW w:w="2725"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 </w:t>
            </w: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3.8</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Container is lowered and landed safely in accordance with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3.9</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Container spreader is disconnected from container and positioned safely and efficiently for next task in accordance with safe work procedures </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4</w:t>
            </w:r>
          </w:p>
        </w:tc>
        <w:tc>
          <w:tcPr>
            <w:tcW w:w="2725"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rPr>
                <w:rStyle w:val="SpecialBold"/>
              </w:rPr>
              <w:t>Pack up</w:t>
            </w: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4.1</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 xml:space="preserve">Reach stacker boom and container spreader are secured as required in accordance with manufacturer </w:t>
            </w:r>
            <w:r w:rsidRPr="00151207">
              <w:t>specifications and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4.2</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Relevant motion locks and brakes are applied as required in accordance with manufacturer specifications,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4.3</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Stabilisers (if fitted) are raised and secured in accordance with manufacturer specifications, safe work procedures</w:t>
            </w:r>
          </w:p>
        </w:tc>
      </w:tr>
      <w:tr w:rsidTr="00151207">
        <w:tblPrEx>
          <w:tblW w:w="9498" w:type="dxa"/>
          <w:tblLayout w:type="fixed"/>
          <w:tblCellMar>
            <w:left w:w="62" w:type="dxa"/>
            <w:right w:w="62" w:type="dxa"/>
          </w:tblCellMar>
          <w:tblLook w:val="0000"/>
        </w:tblPrEx>
        <w:trPr>
          <w:trHeight w:val="856"/>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4.4</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Reach stacker is parked to avoid hazards and shut down in accordance with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4.5</w:t>
            </w:r>
          </w:p>
        </w:tc>
        <w:tc>
          <w:tcPr>
            <w:tcW w:w="5593"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t>Post-operational reach stacker checks are carried out in accordance with manufacturer specifications, legislative responsibilities and safe work procedures</w:t>
            </w:r>
          </w:p>
        </w:tc>
      </w:tr>
      <w:tr w:rsidTr="00151207">
        <w:tblPrEx>
          <w:tblW w:w="9498" w:type="dxa"/>
          <w:tblLayout w:type="fixed"/>
          <w:tblCellMar>
            <w:left w:w="62" w:type="dxa"/>
            <w:right w:w="62" w:type="dxa"/>
          </w:tblCellMar>
          <w:tblLook w:val="0000"/>
        </w:tblPrEx>
        <w:trPr>
          <w:trHeight w:val="1200"/>
        </w:trPr>
        <w:tc>
          <w:tcPr>
            <w:tcW w:w="464"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25" w:type="dxa"/>
            <w:tcBorders>
              <w:top w:val="nil"/>
              <w:left w:val="nil"/>
              <w:bottom w:val="nil"/>
              <w:right w:val="nil"/>
            </w:tcBorders>
            <w:tcMar>
              <w:top w:w="0" w:type="dxa"/>
              <w:left w:w="62" w:type="dxa"/>
              <w:bottom w:w="0" w:type="dxa"/>
              <w:right w:w="62" w:type="dxa"/>
            </w:tcMar>
          </w:tcPr>
          <w:p w:rsidR="00000000" w:rsidRPr="00151207">
            <w:pPr>
              <w:pStyle w:val="BodyText"/>
              <w:keepLines w:val="0"/>
            </w:pPr>
          </w:p>
        </w:tc>
        <w:tc>
          <w:tcPr>
            <w:tcW w:w="716" w:type="dxa"/>
            <w:tcBorders>
              <w:top w:val="nil"/>
              <w:left w:val="nil"/>
              <w:bottom w:val="nil"/>
              <w:right w:val="nil"/>
            </w:tcBorders>
            <w:tcMar>
              <w:top w:w="0" w:type="dxa"/>
              <w:left w:w="62" w:type="dxa"/>
              <w:bottom w:w="0" w:type="dxa"/>
              <w:right w:w="62" w:type="dxa"/>
            </w:tcMar>
          </w:tcPr>
          <w:p w:rsidR="00000000" w:rsidP="00151207">
            <w:pPr>
              <w:pStyle w:val="BodyText"/>
              <w:rPr>
                <w:lang w:val="en-NZ"/>
              </w:rPr>
            </w:pPr>
            <w:r w:rsidRPr="00151207">
              <w:rPr>
                <w:rStyle w:val="SpecialBold"/>
              </w:rPr>
              <w:t>4.6</w:t>
            </w:r>
          </w:p>
        </w:tc>
        <w:tc>
          <w:tcPr>
            <w:tcW w:w="5593"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Reach stacker is secured to prevent unauthorised access/use in accordance with legislative ob</w:t>
            </w:r>
            <w:r w:rsidRPr="00151207">
              <w:t>ligations, responsibilities, safe work procedures</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7" w:name="O_1000910"/>
      <w:bookmarkEnd w:id="7"/>
      <w:r w:rsidRPr="00151207">
        <w:t>Foundation Skills</w:t>
      </w:r>
    </w:p>
    <w:tbl>
      <w:tblPr>
        <w:tblW w:w="9497" w:type="dxa"/>
        <w:tblLayout w:type="fixed"/>
        <w:tblCellMar>
          <w:left w:w="62" w:type="dxa"/>
          <w:right w:w="62" w:type="dxa"/>
        </w:tblCellMar>
        <w:tblLook w:val="0000"/>
      </w:tblPr>
      <w:tblGrid>
        <w:gridCol w:w="9497"/>
      </w:tblGrid>
      <w:tr w:rsidTr="0015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Foundation skills essential to performance are explicit in the performance criteria of this unit of competency</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8" w:name="O_1000911"/>
      <w:bookmarkEnd w:id="8"/>
      <w:r w:rsidRPr="00151207">
        <w:t>Range of Conditions</w:t>
      </w:r>
    </w:p>
    <w:tbl>
      <w:tblPr>
        <w:tblW w:w="9497" w:type="dxa"/>
        <w:tblLayout w:type="fixed"/>
        <w:tblCellMar>
          <w:left w:w="62" w:type="dxa"/>
          <w:right w:w="62" w:type="dxa"/>
        </w:tblCellMar>
        <w:tblLook w:val="0000"/>
      </w:tblPr>
      <w:tblGrid>
        <w:gridCol w:w="9497"/>
      </w:tblGrid>
      <w:tr w:rsidTr="0015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Range is restricted to essential operating conditions and any other variables essential to the work environment.</w:t>
            </w:r>
          </w:p>
          <w:p w:rsidR="00000000" w:rsidRPr="00151207" w:rsidP="00151207">
            <w:pPr>
              <w:pStyle w:val="BodyText"/>
            </w:pPr>
            <w:r w:rsidRPr="00151207">
              <w:t>Non -essential conditions may be found in the Companion Volume Implementation Guide.</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9" w:name="O_1000912"/>
      <w:bookmarkEnd w:id="9"/>
      <w:r w:rsidRPr="00151207">
        <w:t>Unit Mapping Information</w:t>
      </w:r>
    </w:p>
    <w:tbl>
      <w:tblPr>
        <w:tblW w:w="9497" w:type="dxa"/>
        <w:tblLayout w:type="fixed"/>
        <w:tblCellMar>
          <w:left w:w="62" w:type="dxa"/>
          <w:right w:w="62" w:type="dxa"/>
        </w:tblCellMar>
        <w:tblLook w:val="0000"/>
      </w:tblPr>
      <w:tblGrid>
        <w:gridCol w:w="9497"/>
      </w:tblGrid>
      <w:tr w:rsidTr="0015120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51207" w:rsidP="00151207">
            <w:pPr>
              <w:pStyle w:val="BodyText"/>
            </w:pPr>
            <w:r w:rsidRPr="00151207">
              <w:t>This unit re</w:t>
            </w:r>
            <w:r w:rsidRPr="00151207">
              <w:t>places and is equivalent to TLILIC3019 Licence to operate a reach stacker (greater than 3 tonnes capacity).</w:t>
            </w:r>
          </w:p>
        </w:tc>
      </w:tr>
    </w:tbl>
    <w:p w:rsidR="00000000" w:rsidRPr="00151207" w:rsidP="00151207">
      <w:pPr>
        <w:pStyle w:val="NoPaddingFontSize1"/>
      </w:pPr>
    </w:p>
    <w:p w:rsidR="00000000" w:rsidRPr="00151207" w:rsidP="00151207">
      <w:pPr>
        <w:pStyle w:val="AllowPageBreak"/>
      </w:pPr>
    </w:p>
    <w:p w:rsidR="00000000" w:rsidRPr="00151207" w:rsidP="00151207">
      <w:pPr>
        <w:pStyle w:val="Heading1"/>
      </w:pPr>
      <w:bookmarkStart w:id="10" w:name="O_1000919"/>
      <w:bookmarkEnd w:id="10"/>
      <w:r w:rsidRPr="00151207">
        <w:t>Links</w:t>
      </w:r>
    </w:p>
    <w:p w:rsidR="00000000" w:rsidRPr="00151207" w:rsidP="009F0B7C">
      <w:pPr>
        <w:pStyle w:val="BodyText"/>
      </w:pPr>
      <w:r w:rsidRPr="00151207">
        <w:t xml:space="preserve">Companion Volume Implementation Guide - </w:t>
      </w:r>
      <w:r>
        <w:fldChar w:fldCharType="begin"/>
      </w:r>
      <w:r>
        <w:instrText xml:space="preserve"> HYPERLINK "https://vetnet.gov.au/Pages/TrainingDocs.aspx?q=df441c6e-213d-43e3-874c-0b3f7036d851" </w:instrText>
      </w:r>
      <w:r>
        <w:fldChar w:fldCharType="separate"/>
      </w:r>
      <w:r w:rsidRPr="00E34D83">
        <w:rPr>
          <w:rStyle w:val="Hyperlink"/>
        </w:rPr>
        <w:t>https://vetnet.gov.au/Pages/TrainingDocs.aspx?q=df441c6e-213d-43e3-874c-0b3f7036d851</w:t>
      </w:r>
      <w:r>
        <w:fldChar w:fldCharType="end"/>
      </w:r>
    </w:p>
    <w:p w:rsidR="00000000" w:rsidRPr="00151207" w:rsidP="00151207"/>
    <w:sectPr w:rsidSect="0015120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0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07" w:rsidRPr="009F0B7C" w:rsidP="009F0B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0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7C" w:rsidP="0015120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F0B7C" w:rsidP="0015120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9F0B7C" w:rsidP="0015120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0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51207" w:rsidRPr="009F0B7C" w:rsidP="009F0B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120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0B7C" w:rsidRPr="002D2AF8" w:rsidP="00151207">
    <w:pPr>
      <w:pStyle w:val="Header"/>
      <w:framePr w:wrap="around"/>
    </w:pPr>
    <w:r>
      <w:fldChar w:fldCharType="begin"/>
    </w:r>
    <w:r>
      <w:instrText xml:space="preserve"> TITLE   \* MERGEFORMAT </w:instrText>
    </w:r>
    <w:r>
      <w:fldChar w:fldCharType="separate"/>
    </w:r>
    <w:r>
      <w:t>TLILIC0011 Licence to operate a reach stacker (greater than 3 tonnes capacity)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9F0B7C" w:rsidP="0015120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31AC77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BFE781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5120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51207"/>
    <w:pPr>
      <w:spacing w:before="360" w:after="60"/>
      <w:outlineLvl w:val="0"/>
    </w:pPr>
    <w:rPr>
      <w:sz w:val="32"/>
    </w:rPr>
  </w:style>
  <w:style w:type="paragraph" w:styleId="Heading2">
    <w:name w:val="heading 2"/>
    <w:basedOn w:val="HeadingBase"/>
    <w:next w:val="BodyText"/>
    <w:link w:val="Heading2Char"/>
    <w:qFormat/>
    <w:rsid w:val="00151207"/>
    <w:pPr>
      <w:keepLines/>
      <w:spacing w:before="240" w:after="120"/>
      <w:outlineLvl w:val="1"/>
    </w:pPr>
    <w:rPr>
      <w:sz w:val="28"/>
      <w:szCs w:val="40"/>
    </w:rPr>
  </w:style>
  <w:style w:type="paragraph" w:styleId="Heading3">
    <w:name w:val="heading 3"/>
    <w:basedOn w:val="HeadingBase"/>
    <w:next w:val="BodyText"/>
    <w:link w:val="Heading3Char"/>
    <w:qFormat/>
    <w:rsid w:val="00151207"/>
    <w:pPr>
      <w:spacing w:before="180" w:after="120"/>
      <w:outlineLvl w:val="2"/>
    </w:pPr>
    <w:rPr>
      <w:spacing w:val="-10"/>
      <w:kern w:val="32"/>
    </w:rPr>
  </w:style>
  <w:style w:type="paragraph" w:styleId="Heading4">
    <w:name w:val="heading 4"/>
    <w:basedOn w:val="HeadingBase"/>
    <w:next w:val="BodyText"/>
    <w:link w:val="Heading4Char"/>
    <w:qFormat/>
    <w:rsid w:val="00151207"/>
    <w:pPr>
      <w:spacing w:before="160" w:after="120"/>
      <w:outlineLvl w:val="3"/>
    </w:pPr>
    <w:rPr>
      <w:sz w:val="22"/>
    </w:rPr>
  </w:style>
  <w:style w:type="paragraph" w:styleId="Heading5">
    <w:name w:val="heading 5"/>
    <w:basedOn w:val="HeadingBase"/>
    <w:next w:val="Normal"/>
    <w:link w:val="Heading5Char"/>
    <w:qFormat/>
    <w:rsid w:val="00151207"/>
    <w:pPr>
      <w:spacing w:before="80"/>
      <w:outlineLvl w:val="4"/>
    </w:pPr>
    <w:rPr>
      <w:color w:val="918585"/>
      <w:sz w:val="20"/>
    </w:rPr>
  </w:style>
  <w:style w:type="paragraph" w:styleId="Heading6">
    <w:name w:val="heading 6"/>
    <w:basedOn w:val="HeadingBase"/>
    <w:next w:val="Normal"/>
    <w:link w:val="Heading6Char"/>
    <w:qFormat/>
    <w:rsid w:val="00151207"/>
    <w:pPr>
      <w:spacing w:before="60"/>
      <w:outlineLvl w:val="5"/>
    </w:pPr>
    <w:rPr>
      <w:color w:val="918585"/>
      <w:sz w:val="20"/>
    </w:rPr>
  </w:style>
  <w:style w:type="paragraph" w:styleId="Heading7">
    <w:name w:val="heading 7"/>
    <w:basedOn w:val="Normal"/>
    <w:next w:val="Normal"/>
    <w:link w:val="Heading7Char"/>
    <w:qFormat/>
    <w:rsid w:val="00151207"/>
    <w:pPr>
      <w:ind w:left="720"/>
      <w:outlineLvl w:val="6"/>
    </w:pPr>
    <w:rPr>
      <w:i/>
    </w:rPr>
  </w:style>
  <w:style w:type="paragraph" w:styleId="Heading8">
    <w:name w:val="heading 8"/>
    <w:basedOn w:val="Normal"/>
    <w:next w:val="Normal"/>
    <w:link w:val="Heading8Char"/>
    <w:qFormat/>
    <w:rsid w:val="00151207"/>
    <w:pPr>
      <w:ind w:left="720"/>
      <w:outlineLvl w:val="7"/>
    </w:pPr>
    <w:rPr>
      <w:i/>
    </w:rPr>
  </w:style>
  <w:style w:type="paragraph" w:styleId="Heading9">
    <w:name w:val="heading 9"/>
    <w:basedOn w:val="Normal"/>
    <w:next w:val="Normal"/>
    <w:link w:val="Heading9Char"/>
    <w:qFormat/>
    <w:rsid w:val="00151207"/>
    <w:pPr>
      <w:ind w:left="720"/>
      <w:outlineLvl w:val="8"/>
    </w:pPr>
    <w:rPr>
      <w:i/>
    </w:rPr>
  </w:style>
  <w:style w:type="character" w:default="1" w:styleId="DefaultParagraphFont">
    <w:name w:val="Default Paragraph Font"/>
    <w:uiPriority w:val="1"/>
    <w:unhideWhenUsed/>
    <w:rsid w:val="0015120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51207"/>
  </w:style>
  <w:style w:type="character" w:customStyle="1" w:styleId="Heading1Char">
    <w:name w:val="Heading 1 Char"/>
    <w:basedOn w:val="DefaultParagraphFont"/>
    <w:link w:val="Heading1"/>
    <w:rsid w:val="00151207"/>
    <w:rPr>
      <w:rFonts w:ascii="Times New Roman" w:eastAsia="Times New Roman" w:hAnsi="Times New Roman" w:cs="Times New Roman"/>
      <w:b/>
      <w:sz w:val="32"/>
      <w:szCs w:val="20"/>
      <w:lang w:eastAsia="en-US"/>
    </w:rPr>
  </w:style>
  <w:style w:type="paragraph" w:styleId="BodyText">
    <w:name w:val="Body Text"/>
    <w:basedOn w:val="Normal"/>
    <w:link w:val="BodyTextChar"/>
    <w:rsid w:val="0015120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51207"/>
    <w:rPr>
      <w:rFonts w:ascii="Times New Roman" w:eastAsia="Times New Roman" w:hAnsi="Times New Roman" w:cs="Times New Roman"/>
      <w:sz w:val="24"/>
      <w:lang w:eastAsia="en-US"/>
    </w:rPr>
  </w:style>
  <w:style w:type="paragraph" w:styleId="ListBullet">
    <w:name w:val="List Bullet"/>
    <w:basedOn w:val="List"/>
    <w:rsid w:val="00151207"/>
    <w:pPr>
      <w:numPr>
        <w:numId w:val="11"/>
      </w:numPr>
      <w:tabs>
        <w:tab w:val="clear" w:pos="340"/>
      </w:tabs>
      <w:spacing w:before="40" w:after="40"/>
    </w:pPr>
  </w:style>
  <w:style w:type="character" w:customStyle="1" w:styleId="SpecialBold">
    <w:name w:val="Special Bold"/>
    <w:basedOn w:val="DefaultParagraphFont"/>
    <w:rsid w:val="00151207"/>
    <w:rPr>
      <w:b/>
      <w:spacing w:val="0"/>
    </w:rPr>
  </w:style>
  <w:style w:type="paragraph" w:customStyle="1" w:styleId="SuperHeading">
    <w:name w:val="SuperHeading"/>
    <w:basedOn w:val="Normal"/>
    <w:rsid w:val="00151207"/>
    <w:pPr>
      <w:spacing w:before="240" w:after="120"/>
      <w:outlineLvl w:val="0"/>
    </w:pPr>
    <w:rPr>
      <w:rFonts w:ascii="Times New Roman" w:hAnsi="Times New Roman"/>
      <w:b/>
      <w:sz w:val="32"/>
    </w:rPr>
  </w:style>
  <w:style w:type="paragraph" w:customStyle="1" w:styleId="AllowPageBreak">
    <w:name w:val="AllowPageBreak"/>
    <w:rsid w:val="0015120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5120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5120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5120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5120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5120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5120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5120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51207"/>
    <w:rPr>
      <w:rFonts w:ascii="Courier New" w:eastAsia="Times New Roman" w:hAnsi="Courier New" w:cs="Times New Roman"/>
      <w:i/>
      <w:szCs w:val="20"/>
      <w:lang w:eastAsia="en-US"/>
    </w:rPr>
  </w:style>
  <w:style w:type="paragraph" w:customStyle="1" w:styleId="HeadingBase">
    <w:name w:val="Heading Base"/>
    <w:rsid w:val="0015120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51207"/>
    <w:pPr>
      <w:tabs>
        <w:tab w:val="right" w:leader="dot" w:pos="9072"/>
      </w:tabs>
      <w:ind w:left="567"/>
    </w:pPr>
    <w:rPr>
      <w:szCs w:val="22"/>
    </w:rPr>
  </w:style>
  <w:style w:type="paragraph" w:customStyle="1" w:styleId="TOCBase">
    <w:name w:val="TOC Base"/>
    <w:rsid w:val="0015120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51207"/>
    <w:pPr>
      <w:tabs>
        <w:tab w:val="right" w:leader="dot" w:pos="9072"/>
      </w:tabs>
      <w:spacing w:before="40" w:after="40"/>
      <w:ind w:left="284"/>
    </w:pPr>
    <w:rPr>
      <w:rFonts w:ascii="Times New Roman" w:hAnsi="Times New Roman"/>
    </w:rPr>
  </w:style>
  <w:style w:type="paragraph" w:styleId="TOC1">
    <w:name w:val="toc 1"/>
    <w:basedOn w:val="TOCBase"/>
    <w:next w:val="Normal"/>
    <w:rsid w:val="0015120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5120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51207"/>
    <w:rPr>
      <w:rFonts w:ascii="Times New Roman" w:eastAsia="Times New Roman" w:hAnsi="Times New Roman" w:cs="Times New Roman"/>
      <w:sz w:val="16"/>
      <w:lang w:eastAsia="en-US"/>
    </w:rPr>
  </w:style>
  <w:style w:type="paragraph" w:styleId="Title">
    <w:name w:val="Title"/>
    <w:basedOn w:val="HeadingBase"/>
    <w:link w:val="TitleChar"/>
    <w:qFormat/>
    <w:rsid w:val="00151207"/>
    <w:pPr>
      <w:spacing w:before="5040"/>
      <w:jc w:val="center"/>
    </w:pPr>
    <w:rPr>
      <w:sz w:val="48"/>
      <w:szCs w:val="72"/>
      <w:lang w:val="en-US"/>
    </w:rPr>
  </w:style>
  <w:style w:type="character" w:customStyle="1" w:styleId="TitleChar">
    <w:name w:val="Title Char"/>
    <w:basedOn w:val="DefaultParagraphFont"/>
    <w:link w:val="Title"/>
    <w:rsid w:val="0015120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51207"/>
    <w:pPr>
      <w:tabs>
        <w:tab w:val="left" w:pos="3600"/>
        <w:tab w:val="left" w:pos="3958"/>
      </w:tabs>
    </w:pPr>
  </w:style>
  <w:style w:type="paragraph" w:styleId="List">
    <w:name w:val="List"/>
    <w:basedOn w:val="BodyText"/>
    <w:next w:val="BodyText"/>
    <w:rsid w:val="00151207"/>
    <w:pPr>
      <w:tabs>
        <w:tab w:val="left" w:pos="340"/>
      </w:tabs>
      <w:spacing w:before="60" w:after="60"/>
      <w:ind w:left="340" w:hanging="340"/>
    </w:pPr>
  </w:style>
  <w:style w:type="paragraph" w:customStyle="1" w:styleId="Note">
    <w:name w:val="Note"/>
    <w:basedOn w:val="BodyText"/>
    <w:rsid w:val="0015120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51207"/>
    <w:pPr>
      <w:framePr w:wrap="auto" w:hAnchor="text" w:y="6049"/>
    </w:pPr>
    <w:rPr>
      <w:color w:val="000000"/>
      <w:sz w:val="40"/>
    </w:rPr>
  </w:style>
  <w:style w:type="paragraph" w:customStyle="1" w:styleId="TOCTitle">
    <w:name w:val="TOCTitle"/>
    <w:basedOn w:val="Heading1"/>
    <w:rsid w:val="00151207"/>
    <w:pPr>
      <w:spacing w:after="240"/>
      <w:jc w:val="center"/>
      <w:outlineLvl w:val="9"/>
    </w:pPr>
    <w:rPr>
      <w:caps/>
    </w:rPr>
  </w:style>
  <w:style w:type="paragraph" w:customStyle="1" w:styleId="Version">
    <w:name w:val="Version"/>
    <w:rsid w:val="0015120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51207"/>
    <w:pPr>
      <w:numPr>
        <w:numId w:val="12"/>
      </w:numPr>
      <w:tabs>
        <w:tab w:val="clear" w:pos="680"/>
      </w:tabs>
    </w:pPr>
  </w:style>
  <w:style w:type="paragraph" w:styleId="Index1">
    <w:name w:val="index 1"/>
    <w:basedOn w:val="Normal"/>
    <w:next w:val="Normal"/>
    <w:semiHidden/>
    <w:rsid w:val="00151207"/>
    <w:pPr>
      <w:keepNext w:val="0"/>
      <w:tabs>
        <w:tab w:val="right" w:pos="4176"/>
      </w:tabs>
      <w:ind w:left="198" w:hanging="198"/>
    </w:pPr>
    <w:rPr>
      <w:rFonts w:ascii="Garamond" w:hAnsi="Garamond"/>
    </w:rPr>
  </w:style>
  <w:style w:type="paragraph" w:styleId="IndexHeading">
    <w:name w:val="index heading"/>
    <w:basedOn w:val="Normal"/>
    <w:next w:val="Index1"/>
    <w:semiHidden/>
    <w:rsid w:val="00151207"/>
    <w:pPr>
      <w:spacing w:before="120" w:after="120"/>
    </w:pPr>
    <w:rPr>
      <w:rFonts w:ascii="Arial" w:hAnsi="Arial"/>
      <w:b/>
      <w:color w:val="918585"/>
      <w:sz w:val="24"/>
    </w:rPr>
  </w:style>
  <w:style w:type="paragraph" w:styleId="Header">
    <w:name w:val="header"/>
    <w:basedOn w:val="Normal"/>
    <w:link w:val="HeaderChar"/>
    <w:rsid w:val="0015120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51207"/>
    <w:rPr>
      <w:rFonts w:ascii="Times New Roman" w:eastAsia="Times New Roman" w:hAnsi="Times New Roman" w:cs="Times New Roman"/>
      <w:sz w:val="16"/>
      <w:szCs w:val="20"/>
      <w:lang w:val="en-GB" w:eastAsia="en-US"/>
    </w:rPr>
  </w:style>
  <w:style w:type="paragraph" w:customStyle="1" w:styleId="Chapter">
    <w:name w:val="Chapter"/>
    <w:basedOn w:val="Normal"/>
    <w:rsid w:val="00151207"/>
    <w:pPr>
      <w:spacing w:before="240"/>
    </w:pPr>
    <w:rPr>
      <w:rFonts w:ascii="Times New Roman" w:hAnsi="Times New Roman"/>
      <w:smallCaps/>
      <w:spacing w:val="80"/>
      <w:sz w:val="28"/>
    </w:rPr>
  </w:style>
  <w:style w:type="paragraph" w:customStyle="1" w:styleId="InChapter">
    <w:name w:val="InChapter"/>
    <w:basedOn w:val="Heading3"/>
    <w:rsid w:val="00151207"/>
    <w:pPr>
      <w:spacing w:after="240"/>
      <w:outlineLvl w:val="9"/>
    </w:pPr>
    <w:rPr>
      <w:noProof/>
    </w:rPr>
  </w:style>
  <w:style w:type="paragraph" w:styleId="Index2">
    <w:name w:val="index 2"/>
    <w:basedOn w:val="Normal"/>
    <w:next w:val="Normal"/>
    <w:semiHidden/>
    <w:rsid w:val="00151207"/>
    <w:pPr>
      <w:tabs>
        <w:tab w:val="right" w:pos="4176"/>
      </w:tabs>
      <w:ind w:left="568" w:hanging="284"/>
    </w:pPr>
    <w:rPr>
      <w:rFonts w:ascii="Garamond" w:hAnsi="Garamond"/>
    </w:rPr>
  </w:style>
  <w:style w:type="paragraph" w:customStyle="1" w:styleId="Byline">
    <w:name w:val="Byline"/>
    <w:rsid w:val="0015120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51207"/>
    <w:pPr>
      <w:tabs>
        <w:tab w:val="clear" w:pos="3600"/>
        <w:tab w:val="clear" w:pos="3958"/>
      </w:tabs>
      <w:jc w:val="right"/>
    </w:pPr>
  </w:style>
  <w:style w:type="character" w:styleId="Emphasis">
    <w:name w:val="Emphasis"/>
    <w:basedOn w:val="DefaultParagraphFont"/>
    <w:qFormat/>
    <w:rsid w:val="00151207"/>
    <w:rPr>
      <w:i/>
    </w:rPr>
  </w:style>
  <w:style w:type="paragraph" w:styleId="Caption">
    <w:name w:val="caption"/>
    <w:basedOn w:val="BodyText"/>
    <w:next w:val="Normal"/>
    <w:qFormat/>
    <w:rsid w:val="00151207"/>
    <w:pPr>
      <w:framePr w:w="2268" w:hSpace="181" w:vSpace="181" w:wrap="around" w:vAnchor="text" w:hAnchor="page" w:x="1135" w:y="285" w:anchorLock="1"/>
    </w:pPr>
    <w:rPr>
      <w:i/>
    </w:rPr>
  </w:style>
  <w:style w:type="paragraph" w:customStyle="1" w:styleId="MiniTOCTitle">
    <w:name w:val="MiniTOCTitle"/>
    <w:basedOn w:val="Heading4"/>
    <w:rsid w:val="00151207"/>
    <w:pPr>
      <w:spacing w:before="240"/>
      <w:outlineLvl w:val="9"/>
    </w:pPr>
    <w:rPr>
      <w:noProof/>
      <w:sz w:val="24"/>
    </w:rPr>
  </w:style>
  <w:style w:type="paragraph" w:customStyle="1" w:styleId="MiniTOCItem">
    <w:name w:val="MiniTOCItem"/>
    <w:basedOn w:val="ListBullet"/>
    <w:rsid w:val="00151207"/>
    <w:pPr>
      <w:numPr>
        <w:numId w:val="0"/>
      </w:numPr>
      <w:tabs>
        <w:tab w:val="right" w:leader="dot" w:pos="6521"/>
      </w:tabs>
      <w:spacing w:before="0" w:after="0"/>
    </w:pPr>
  </w:style>
  <w:style w:type="paragraph" w:customStyle="1" w:styleId="TOFTitle">
    <w:name w:val="TOFTitle"/>
    <w:basedOn w:val="TOCTitle"/>
    <w:rsid w:val="00151207"/>
  </w:style>
  <w:style w:type="paragraph" w:styleId="TableofFigures">
    <w:name w:val="table of figures"/>
    <w:basedOn w:val="Normal"/>
    <w:next w:val="Normal"/>
    <w:semiHidden/>
    <w:rsid w:val="00151207"/>
    <w:pPr>
      <w:tabs>
        <w:tab w:val="right" w:leader="dot" w:pos="9072"/>
      </w:tabs>
      <w:ind w:left="970" w:hanging="403"/>
    </w:pPr>
    <w:rPr>
      <w:rFonts w:ascii="Times New Roman" w:hAnsi="Times New Roman"/>
      <w:b/>
    </w:rPr>
  </w:style>
  <w:style w:type="paragraph" w:styleId="ListNumber">
    <w:name w:val="List Number"/>
    <w:basedOn w:val="List"/>
    <w:rsid w:val="00151207"/>
    <w:pPr>
      <w:numPr>
        <w:numId w:val="14"/>
      </w:numPr>
      <w:tabs>
        <w:tab w:val="clear" w:pos="340"/>
      </w:tabs>
    </w:pPr>
  </w:style>
  <w:style w:type="character" w:customStyle="1" w:styleId="WingdingSymbols">
    <w:name w:val="Wingding Symbols"/>
    <w:rsid w:val="00151207"/>
    <w:rPr>
      <w:rFonts w:ascii="Wingdings" w:hAnsi="Wingdings"/>
    </w:rPr>
  </w:style>
  <w:style w:type="paragraph" w:customStyle="1" w:styleId="TableHeading">
    <w:name w:val="Table Heading"/>
    <w:basedOn w:val="HeadingBase"/>
    <w:rsid w:val="00151207"/>
    <w:pPr>
      <w:keepLines/>
      <w:pBdr>
        <w:bottom w:val="single" w:sz="6" w:space="1" w:color="918585"/>
      </w:pBdr>
      <w:spacing w:before="240"/>
    </w:pPr>
  </w:style>
  <w:style w:type="character" w:customStyle="1" w:styleId="HotSpot">
    <w:name w:val="HotSpot"/>
    <w:rsid w:val="00151207"/>
    <w:rPr>
      <w:color w:val="0033CC"/>
      <w:u w:val="none"/>
    </w:rPr>
  </w:style>
  <w:style w:type="paragraph" w:customStyle="1" w:styleId="BodyTextRight">
    <w:name w:val="Body Text Right"/>
    <w:basedOn w:val="BodyText"/>
    <w:rsid w:val="00151207"/>
    <w:pPr>
      <w:spacing w:before="0" w:after="0"/>
      <w:jc w:val="right"/>
    </w:pPr>
  </w:style>
  <w:style w:type="paragraph" w:styleId="Index3">
    <w:name w:val="index 3"/>
    <w:basedOn w:val="ListNumber2"/>
    <w:next w:val="Normal"/>
    <w:semiHidden/>
    <w:rsid w:val="00151207"/>
    <w:pPr>
      <w:numPr>
        <w:numId w:val="0"/>
      </w:numPr>
      <w:tabs>
        <w:tab w:val="right" w:leader="dot" w:pos="4176"/>
      </w:tabs>
    </w:pPr>
  </w:style>
  <w:style w:type="paragraph" w:styleId="ListNumber2">
    <w:name w:val="List Number 2"/>
    <w:basedOn w:val="List2"/>
    <w:rsid w:val="00151207"/>
    <w:pPr>
      <w:numPr>
        <w:numId w:val="9"/>
      </w:numPr>
      <w:tabs>
        <w:tab w:val="clear" w:pos="1060"/>
      </w:tabs>
    </w:pPr>
  </w:style>
  <w:style w:type="paragraph" w:customStyle="1" w:styleId="MarginNote">
    <w:name w:val="Margin Note"/>
    <w:basedOn w:val="BodyText"/>
    <w:rsid w:val="0015120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5120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5120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51207"/>
    <w:rPr>
      <w:sz w:val="32"/>
    </w:rPr>
  </w:style>
  <w:style w:type="paragraph" w:customStyle="1" w:styleId="HeadingProcedure">
    <w:name w:val="Heading Procedure"/>
    <w:basedOn w:val="HeadingBase"/>
    <w:next w:val="Normal"/>
    <w:rsid w:val="00151207"/>
    <w:pPr>
      <w:tabs>
        <w:tab w:val="left" w:pos="0"/>
      </w:tabs>
      <w:spacing w:before="120" w:after="60"/>
    </w:pPr>
    <w:rPr>
      <w:i/>
      <w:color w:val="918585"/>
      <w:sz w:val="22"/>
    </w:rPr>
  </w:style>
  <w:style w:type="paragraph" w:customStyle="1" w:styleId="TableBodyText">
    <w:name w:val="Table Body Text"/>
    <w:basedOn w:val="BodyText"/>
    <w:rsid w:val="00151207"/>
    <w:pPr>
      <w:spacing w:before="60" w:after="60"/>
    </w:pPr>
  </w:style>
  <w:style w:type="paragraph" w:styleId="ListContinue">
    <w:name w:val="List Continue"/>
    <w:basedOn w:val="List"/>
    <w:rsid w:val="00151207"/>
    <w:pPr>
      <w:ind w:firstLine="0"/>
    </w:pPr>
  </w:style>
  <w:style w:type="paragraph" w:customStyle="1" w:styleId="ListNote">
    <w:name w:val="List Note"/>
    <w:basedOn w:val="List"/>
    <w:rsid w:val="00151207"/>
    <w:pPr>
      <w:pBdr>
        <w:top w:val="single" w:sz="6" w:space="2" w:color="918585"/>
        <w:bottom w:val="single" w:sz="6" w:space="2" w:color="918585"/>
      </w:pBdr>
      <w:tabs>
        <w:tab w:val="left" w:pos="1021"/>
      </w:tabs>
      <w:ind w:firstLine="0"/>
    </w:pPr>
  </w:style>
  <w:style w:type="paragraph" w:customStyle="1" w:styleId="Warning">
    <w:name w:val="Warning"/>
    <w:basedOn w:val="BodyText"/>
    <w:rsid w:val="00151207"/>
    <w:pPr>
      <w:shd w:val="clear" w:color="auto" w:fill="D9D9D9"/>
      <w:tabs>
        <w:tab w:val="left" w:pos="992"/>
      </w:tabs>
      <w:ind w:left="119" w:right="119"/>
    </w:pPr>
    <w:rPr>
      <w:sz w:val="20"/>
    </w:rPr>
  </w:style>
  <w:style w:type="paragraph" w:customStyle="1" w:styleId="MarginIcons">
    <w:name w:val="Margin Icons"/>
    <w:basedOn w:val="BodyText"/>
    <w:rsid w:val="0015120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51207"/>
    <w:rPr>
      <w:rFonts w:ascii="Courier New" w:hAnsi="Courier New"/>
    </w:rPr>
  </w:style>
  <w:style w:type="paragraph" w:customStyle="1" w:styleId="NoteBullet">
    <w:name w:val="Note Bullet"/>
    <w:basedOn w:val="Note"/>
    <w:rsid w:val="00151207"/>
    <w:pPr>
      <w:tabs>
        <w:tab w:val="clear" w:pos="680"/>
      </w:tabs>
      <w:spacing w:before="60" w:after="60"/>
    </w:pPr>
  </w:style>
  <w:style w:type="paragraph" w:customStyle="1" w:styleId="SubHeading2">
    <w:name w:val="SubHeading2"/>
    <w:basedOn w:val="HeadingBase"/>
    <w:rsid w:val="00151207"/>
    <w:pPr>
      <w:spacing w:before="240" w:after="60"/>
    </w:pPr>
    <w:rPr>
      <w:sz w:val="20"/>
    </w:rPr>
  </w:style>
  <w:style w:type="paragraph" w:customStyle="1" w:styleId="SubHeading1">
    <w:name w:val="SubHeading1"/>
    <w:basedOn w:val="HeadingBase"/>
    <w:rsid w:val="00151207"/>
    <w:pPr>
      <w:spacing w:before="240" w:after="60"/>
    </w:pPr>
    <w:rPr>
      <w:color w:val="918585"/>
      <w:sz w:val="22"/>
    </w:rPr>
  </w:style>
  <w:style w:type="paragraph" w:customStyle="1" w:styleId="SideHeading">
    <w:name w:val="Side Heading"/>
    <w:basedOn w:val="HeadingBase"/>
    <w:rsid w:val="0015120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51207"/>
    <w:pPr>
      <w:numPr>
        <w:numId w:val="10"/>
      </w:numPr>
    </w:pPr>
  </w:style>
  <w:style w:type="paragraph" w:styleId="PlainText">
    <w:name w:val="Plain Text"/>
    <w:basedOn w:val="Normal"/>
    <w:link w:val="PlainTextChar"/>
    <w:rsid w:val="00151207"/>
    <w:rPr>
      <w:sz w:val="20"/>
    </w:rPr>
  </w:style>
  <w:style w:type="character" w:customStyle="1" w:styleId="PlainTextChar">
    <w:name w:val="Plain Text Char"/>
    <w:basedOn w:val="DefaultParagraphFont"/>
    <w:link w:val="PlainText"/>
    <w:rsid w:val="00151207"/>
    <w:rPr>
      <w:rFonts w:ascii="Courier New" w:eastAsia="Times New Roman" w:hAnsi="Courier New" w:cs="Times New Roman"/>
      <w:sz w:val="20"/>
      <w:szCs w:val="20"/>
      <w:lang w:eastAsia="en-US"/>
    </w:rPr>
  </w:style>
  <w:style w:type="character" w:customStyle="1" w:styleId="MenuOption">
    <w:name w:val="Menu Option"/>
    <w:basedOn w:val="DefaultParagraphFont"/>
    <w:rsid w:val="00151207"/>
    <w:rPr>
      <w:b/>
      <w:smallCaps/>
    </w:rPr>
  </w:style>
  <w:style w:type="paragraph" w:customStyle="1" w:styleId="TableListNumber">
    <w:name w:val="Table List Number"/>
    <w:basedOn w:val="ListNumber"/>
    <w:rsid w:val="00151207"/>
    <w:pPr>
      <w:numPr>
        <w:numId w:val="0"/>
      </w:numPr>
    </w:pPr>
  </w:style>
  <w:style w:type="paragraph" w:styleId="TOC4">
    <w:name w:val="toc 4"/>
    <w:basedOn w:val="TOCBase"/>
    <w:next w:val="Normal"/>
    <w:semiHidden/>
    <w:rsid w:val="00151207"/>
    <w:pPr>
      <w:tabs>
        <w:tab w:val="right" w:leader="dot" w:pos="9071"/>
      </w:tabs>
      <w:ind w:left="1701"/>
    </w:pPr>
  </w:style>
  <w:style w:type="paragraph" w:customStyle="1" w:styleId="ListAlpha">
    <w:name w:val="List Alpha"/>
    <w:basedOn w:val="List"/>
    <w:rsid w:val="00151207"/>
    <w:pPr>
      <w:numPr>
        <w:numId w:val="8"/>
      </w:numPr>
    </w:pPr>
  </w:style>
  <w:style w:type="paragraph" w:customStyle="1" w:styleId="ListAlpha2">
    <w:name w:val="List Alpha 2"/>
    <w:basedOn w:val="List2"/>
    <w:rsid w:val="00151207"/>
    <w:pPr>
      <w:numPr>
        <w:numId w:val="7"/>
      </w:numPr>
    </w:pPr>
  </w:style>
  <w:style w:type="paragraph" w:styleId="List2">
    <w:name w:val="List 2"/>
    <w:basedOn w:val="BodyText"/>
    <w:rsid w:val="00151207"/>
    <w:pPr>
      <w:tabs>
        <w:tab w:val="left" w:pos="680"/>
      </w:tabs>
      <w:spacing w:before="60" w:after="60"/>
      <w:ind w:left="680" w:hanging="340"/>
    </w:pPr>
  </w:style>
  <w:style w:type="paragraph" w:styleId="List3">
    <w:name w:val="List 3"/>
    <w:basedOn w:val="BodyText"/>
    <w:rsid w:val="00151207"/>
    <w:pPr>
      <w:tabs>
        <w:tab w:val="left" w:pos="1021"/>
      </w:tabs>
      <w:spacing w:before="60" w:after="60"/>
      <w:ind w:left="1020" w:hanging="340"/>
    </w:pPr>
  </w:style>
  <w:style w:type="paragraph" w:styleId="List4">
    <w:name w:val="List 4"/>
    <w:basedOn w:val="BodyText"/>
    <w:rsid w:val="00151207"/>
    <w:pPr>
      <w:tabs>
        <w:tab w:val="left" w:pos="1361"/>
      </w:tabs>
      <w:spacing w:before="60" w:after="60"/>
      <w:ind w:left="1361" w:hanging="340"/>
    </w:pPr>
  </w:style>
  <w:style w:type="paragraph" w:styleId="List5">
    <w:name w:val="List 5"/>
    <w:basedOn w:val="BodyText"/>
    <w:rsid w:val="00151207"/>
    <w:pPr>
      <w:tabs>
        <w:tab w:val="left" w:pos="1701"/>
      </w:tabs>
      <w:spacing w:before="60" w:after="60"/>
      <w:ind w:left="1701" w:hanging="340"/>
    </w:pPr>
  </w:style>
  <w:style w:type="paragraph" w:styleId="ListBullet3">
    <w:name w:val="List Bullet 3"/>
    <w:basedOn w:val="List3"/>
    <w:rsid w:val="00151207"/>
    <w:pPr>
      <w:numPr>
        <w:numId w:val="13"/>
      </w:numPr>
      <w:tabs>
        <w:tab w:val="clear" w:pos="1021"/>
      </w:tabs>
      <w:ind w:left="1037" w:hanging="357"/>
    </w:pPr>
  </w:style>
  <w:style w:type="paragraph" w:styleId="ListBullet4">
    <w:name w:val="List Bullet 4"/>
    <w:basedOn w:val="List4"/>
    <w:rsid w:val="00151207"/>
    <w:pPr>
      <w:numPr>
        <w:numId w:val="2"/>
      </w:numPr>
      <w:tabs>
        <w:tab w:val="clear" w:pos="1361"/>
      </w:tabs>
    </w:pPr>
  </w:style>
  <w:style w:type="paragraph" w:styleId="ListBullet5">
    <w:name w:val="List Bullet 5"/>
    <w:basedOn w:val="List5"/>
    <w:rsid w:val="00151207"/>
    <w:pPr>
      <w:numPr>
        <w:numId w:val="3"/>
      </w:numPr>
    </w:pPr>
  </w:style>
  <w:style w:type="paragraph" w:styleId="ListContinue2">
    <w:name w:val="List Continue 2"/>
    <w:basedOn w:val="List2"/>
    <w:rsid w:val="00151207"/>
    <w:pPr>
      <w:ind w:firstLine="0"/>
    </w:pPr>
  </w:style>
  <w:style w:type="paragraph" w:styleId="ListContinue3">
    <w:name w:val="List Continue 3"/>
    <w:basedOn w:val="List3"/>
    <w:rsid w:val="00151207"/>
    <w:pPr>
      <w:ind w:left="1021" w:firstLine="0"/>
    </w:pPr>
  </w:style>
  <w:style w:type="paragraph" w:styleId="ListContinue4">
    <w:name w:val="List Continue 4"/>
    <w:basedOn w:val="List4"/>
    <w:rsid w:val="00151207"/>
    <w:pPr>
      <w:ind w:firstLine="0"/>
    </w:pPr>
  </w:style>
  <w:style w:type="paragraph" w:styleId="ListContinue5">
    <w:name w:val="List Continue 5"/>
    <w:basedOn w:val="List5"/>
    <w:rsid w:val="00151207"/>
    <w:pPr>
      <w:ind w:firstLine="0"/>
    </w:pPr>
  </w:style>
  <w:style w:type="paragraph" w:styleId="ListNumber3">
    <w:name w:val="List Number 3"/>
    <w:basedOn w:val="List3"/>
    <w:rsid w:val="00151207"/>
    <w:pPr>
      <w:numPr>
        <w:numId w:val="4"/>
      </w:numPr>
    </w:pPr>
  </w:style>
  <w:style w:type="paragraph" w:styleId="ListNumber4">
    <w:name w:val="List Number 4"/>
    <w:basedOn w:val="List4"/>
    <w:rsid w:val="00151207"/>
    <w:pPr>
      <w:numPr>
        <w:numId w:val="5"/>
      </w:numPr>
    </w:pPr>
  </w:style>
  <w:style w:type="paragraph" w:styleId="ListNumber5">
    <w:name w:val="List Number 5"/>
    <w:basedOn w:val="List5"/>
    <w:rsid w:val="00151207"/>
    <w:pPr>
      <w:numPr>
        <w:numId w:val="6"/>
      </w:numPr>
    </w:pPr>
  </w:style>
  <w:style w:type="paragraph" w:styleId="BlockText">
    <w:name w:val="Block Text"/>
    <w:basedOn w:val="Normal"/>
    <w:rsid w:val="00151207"/>
    <w:pPr>
      <w:spacing w:after="120"/>
      <w:ind w:left="1440" w:right="1440"/>
    </w:pPr>
  </w:style>
  <w:style w:type="character" w:customStyle="1" w:styleId="Subscript">
    <w:name w:val="Subscript"/>
    <w:basedOn w:val="DefaultParagraphFont"/>
    <w:rsid w:val="00151207"/>
    <w:rPr>
      <w:sz w:val="16"/>
      <w:vertAlign w:val="subscript"/>
    </w:rPr>
  </w:style>
  <w:style w:type="character" w:customStyle="1" w:styleId="Superscript">
    <w:name w:val="Superscript"/>
    <w:basedOn w:val="DefaultParagraphFont"/>
    <w:rsid w:val="00151207"/>
    <w:rPr>
      <w:sz w:val="16"/>
      <w:vertAlign w:val="superscript"/>
    </w:rPr>
  </w:style>
  <w:style w:type="character" w:customStyle="1" w:styleId="Symbols">
    <w:name w:val="Symbols"/>
    <w:basedOn w:val="DefaultParagraphFont"/>
    <w:rsid w:val="00151207"/>
    <w:rPr>
      <w:rFonts w:ascii="Symbol" w:hAnsi="Symbol"/>
    </w:rPr>
  </w:style>
  <w:style w:type="character" w:customStyle="1" w:styleId="MenuOptions">
    <w:name w:val="Menu Options"/>
    <w:basedOn w:val="DefaultParagraphFont"/>
    <w:rsid w:val="00151207"/>
    <w:rPr>
      <w:rFonts w:ascii="Arial Narrow" w:hAnsi="Arial Narrow"/>
      <w:smallCaps/>
    </w:rPr>
  </w:style>
  <w:style w:type="character" w:customStyle="1" w:styleId="Buttons">
    <w:name w:val="Buttons"/>
    <w:basedOn w:val="DefaultParagraphFont"/>
    <w:rsid w:val="00151207"/>
    <w:rPr>
      <w:b/>
    </w:rPr>
  </w:style>
  <w:style w:type="character" w:customStyle="1" w:styleId="Underlined">
    <w:name w:val="Underlined"/>
    <w:basedOn w:val="DefaultParagraphFont"/>
    <w:rsid w:val="00151207"/>
    <w:rPr>
      <w:u w:val="single"/>
    </w:rPr>
  </w:style>
  <w:style w:type="paragraph" w:customStyle="1" w:styleId="TableBodyTextRight">
    <w:name w:val="Table Body Text Right"/>
    <w:basedOn w:val="TableBodyText"/>
    <w:rsid w:val="00151207"/>
    <w:pPr>
      <w:widowControl w:val="0"/>
      <w:autoSpaceDE w:val="0"/>
      <w:autoSpaceDN w:val="0"/>
      <w:adjustRightInd w:val="0"/>
      <w:jc w:val="right"/>
    </w:pPr>
    <w:rPr>
      <w:rFonts w:cs="Arial"/>
      <w:szCs w:val="18"/>
    </w:rPr>
  </w:style>
  <w:style w:type="paragraph" w:customStyle="1" w:styleId="CopyrightText">
    <w:name w:val="Copyright Text"/>
    <w:basedOn w:val="BodyText"/>
    <w:rsid w:val="00151207"/>
    <w:rPr>
      <w:sz w:val="18"/>
    </w:rPr>
  </w:style>
  <w:style w:type="paragraph" w:customStyle="1" w:styleId="BodySmallRight">
    <w:name w:val="Body Small Right"/>
    <w:basedOn w:val="BodyTextRight"/>
    <w:rsid w:val="00151207"/>
    <w:rPr>
      <w:sz w:val="18"/>
      <w:szCs w:val="18"/>
    </w:rPr>
  </w:style>
  <w:style w:type="paragraph" w:customStyle="1" w:styleId="MarginEdition">
    <w:name w:val="Margin Edition"/>
    <w:basedOn w:val="MarginNote"/>
    <w:rsid w:val="00151207"/>
    <w:pPr>
      <w:spacing w:before="0" w:after="0"/>
    </w:pPr>
    <w:rPr>
      <w:rFonts w:ascii="Times New Roman" w:hAnsi="Times New Roman"/>
      <w:color w:val="999999"/>
    </w:rPr>
  </w:style>
  <w:style w:type="paragraph" w:customStyle="1" w:styleId="Spacer">
    <w:name w:val="Spacer"/>
    <w:basedOn w:val="Normal"/>
    <w:rsid w:val="00151207"/>
    <w:rPr>
      <w:sz w:val="2"/>
      <w:szCs w:val="2"/>
    </w:rPr>
  </w:style>
  <w:style w:type="character" w:customStyle="1" w:styleId="Small">
    <w:name w:val="Small"/>
    <w:basedOn w:val="DefaultParagraphFont"/>
    <w:rsid w:val="00151207"/>
    <w:rPr>
      <w:sz w:val="16"/>
    </w:rPr>
  </w:style>
  <w:style w:type="paragraph" w:customStyle="1" w:styleId="WideTable">
    <w:name w:val="Wide Table"/>
    <w:basedOn w:val="Normal"/>
    <w:rsid w:val="00151207"/>
    <w:pPr>
      <w:ind w:left="-1418"/>
    </w:pPr>
    <w:rPr>
      <w:sz w:val="2"/>
      <w:szCs w:val="2"/>
    </w:rPr>
  </w:style>
  <w:style w:type="character" w:styleId="PageNumber">
    <w:name w:val="page number"/>
    <w:basedOn w:val="DefaultParagraphFont"/>
    <w:rsid w:val="00151207"/>
  </w:style>
  <w:style w:type="paragraph" w:styleId="Quote">
    <w:name w:val="Quote"/>
    <w:basedOn w:val="Heading1"/>
    <w:link w:val="QuoteChar"/>
    <w:qFormat/>
    <w:rsid w:val="00151207"/>
    <w:rPr>
      <w:b w:val="0"/>
      <w:sz w:val="72"/>
      <w:szCs w:val="72"/>
      <w:lang w:val="en-NZ"/>
    </w:rPr>
  </w:style>
  <w:style w:type="character" w:customStyle="1" w:styleId="QuoteChar">
    <w:name w:val="Quote Char"/>
    <w:basedOn w:val="DefaultParagraphFont"/>
    <w:link w:val="Quote"/>
    <w:rsid w:val="0015120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51207"/>
    <w:pPr>
      <w:pageBreakBefore/>
    </w:pPr>
  </w:style>
  <w:style w:type="paragraph" w:customStyle="1" w:styleId="Border">
    <w:name w:val="Border"/>
    <w:basedOn w:val="Normal"/>
    <w:qFormat/>
    <w:rsid w:val="0015120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51207"/>
    <w:rPr>
      <w:b/>
      <w:bCs/>
      <w:i/>
      <w:iCs/>
      <w:color w:val="auto"/>
    </w:rPr>
  </w:style>
  <w:style w:type="paragraph" w:styleId="IntenseQuote">
    <w:name w:val="Intense Quote"/>
    <w:basedOn w:val="Normal"/>
    <w:next w:val="Normal"/>
    <w:link w:val="IntenseQuoteChar"/>
    <w:uiPriority w:val="30"/>
    <w:qFormat/>
    <w:rsid w:val="0015120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5120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51207"/>
    <w:rPr>
      <w:smallCaps/>
      <w:color w:val="auto"/>
      <w:u w:val="single"/>
    </w:rPr>
  </w:style>
  <w:style w:type="character" w:styleId="IntenseReference">
    <w:name w:val="Intense Reference"/>
    <w:basedOn w:val="DefaultParagraphFont"/>
    <w:uiPriority w:val="32"/>
    <w:qFormat/>
    <w:rsid w:val="00151207"/>
    <w:rPr>
      <w:b/>
      <w:bCs/>
      <w:smallCaps/>
      <w:color w:val="auto"/>
      <w:spacing w:val="5"/>
      <w:u w:val="single"/>
    </w:rPr>
  </w:style>
  <w:style w:type="paragraph" w:customStyle="1" w:styleId="2ColumnHeading">
    <w:name w:val="2Column Heading"/>
    <w:basedOn w:val="BodyText"/>
    <w:qFormat/>
    <w:rsid w:val="00151207"/>
    <w:pPr>
      <w:spacing w:after="60"/>
      <w:ind w:left="-2268"/>
    </w:pPr>
    <w:rPr>
      <w:b/>
    </w:rPr>
  </w:style>
  <w:style w:type="paragraph" w:customStyle="1" w:styleId="Heading1TOC">
    <w:name w:val="Heading1 TOC"/>
    <w:basedOn w:val="Normal"/>
    <w:qFormat/>
    <w:rsid w:val="00151207"/>
    <w:pPr>
      <w:spacing w:before="240" w:after="120"/>
    </w:pPr>
    <w:rPr>
      <w:rFonts w:ascii="Times New Roman" w:hAnsi="Times New Roman"/>
      <w:b/>
      <w:sz w:val="32"/>
    </w:rPr>
  </w:style>
  <w:style w:type="paragraph" w:customStyle="1" w:styleId="Heading2TOC">
    <w:name w:val="Heading2 TOC"/>
    <w:basedOn w:val="Normal"/>
    <w:qFormat/>
    <w:rsid w:val="00151207"/>
    <w:pPr>
      <w:spacing w:before="240" w:after="60"/>
    </w:pPr>
    <w:rPr>
      <w:rFonts w:ascii="Times New Roman" w:hAnsi="Times New Roman"/>
      <w:b/>
      <w:sz w:val="28"/>
    </w:rPr>
  </w:style>
  <w:style w:type="character" w:customStyle="1" w:styleId="Underline">
    <w:name w:val="Underline"/>
    <w:basedOn w:val="DefaultParagraphFont"/>
    <w:qFormat/>
    <w:rsid w:val="00151207"/>
    <w:rPr>
      <w:u w:val="single"/>
    </w:rPr>
  </w:style>
  <w:style w:type="character" w:customStyle="1" w:styleId="BoldandItalics">
    <w:name w:val="Bold and Italics"/>
    <w:qFormat/>
    <w:rsid w:val="00151207"/>
    <w:rPr>
      <w:b/>
      <w:i/>
      <w:u w:val="none"/>
    </w:rPr>
  </w:style>
  <w:style w:type="paragraph" w:styleId="BalloonText">
    <w:name w:val="Balloon Text"/>
    <w:basedOn w:val="Normal"/>
    <w:link w:val="BalloonTextChar"/>
    <w:rsid w:val="00151207"/>
    <w:rPr>
      <w:rFonts w:ascii="Tahoma" w:hAnsi="Tahoma" w:cs="Tahoma"/>
      <w:sz w:val="16"/>
      <w:szCs w:val="16"/>
    </w:rPr>
  </w:style>
  <w:style w:type="character" w:customStyle="1" w:styleId="BalloonTextChar">
    <w:name w:val="Balloon Text Char"/>
    <w:basedOn w:val="DefaultParagraphFont"/>
    <w:link w:val="BalloonText"/>
    <w:rsid w:val="0015120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5120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5120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51207"/>
    <w:rPr>
      <w:b/>
      <w:color w:val="660033"/>
      <w:spacing w:val="0"/>
    </w:rPr>
  </w:style>
  <w:style w:type="paragraph" w:customStyle="1" w:styleId="Nameditemlist">
    <w:name w:val="Named item list"/>
    <w:basedOn w:val="BodyText"/>
    <w:qFormat/>
    <w:rsid w:val="00151207"/>
    <w:pPr>
      <w:tabs>
        <w:tab w:val="left" w:pos="2835"/>
      </w:tabs>
      <w:ind w:left="2835" w:hanging="2835"/>
    </w:pPr>
  </w:style>
  <w:style w:type="paragraph" w:customStyle="1" w:styleId="BodyTextnopadding">
    <w:name w:val="Body Text no padding"/>
    <w:basedOn w:val="BodyText"/>
    <w:qFormat/>
    <w:rsid w:val="00151207"/>
    <w:pPr>
      <w:spacing w:before="0" w:after="0"/>
    </w:pPr>
  </w:style>
  <w:style w:type="paragraph" w:customStyle="1" w:styleId="BodyTextBold">
    <w:name w:val="Body Text Bold"/>
    <w:basedOn w:val="BodyText"/>
    <w:qFormat/>
    <w:rsid w:val="00151207"/>
    <w:rPr>
      <w:b/>
    </w:rPr>
  </w:style>
  <w:style w:type="character" w:styleId="Hyperlink">
    <w:name w:val="Hyperlink"/>
    <w:basedOn w:val="DefaultParagraphFont"/>
    <w:uiPriority w:val="99"/>
    <w:unhideWhenUsed/>
    <w:rsid w:val="009F0B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1119</Words>
  <Characters>6771</Characters>
  <Application>Microsoft Office Word</Application>
  <DocSecurity>0</DocSecurity>
  <Lines>294</Lines>
  <Paragraphs>136</Paragraphs>
  <ScaleCrop>false</ScaleCrop>
  <Company>Author-it Software Corporation Ltd.</Company>
  <LinksUpToDate>false</LinksUpToDate>
  <CharactersWithSpaces>7754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TLILIC0011 Licence to operate a reach stacker (greater than 3 tonnes capacity)</dc:title>
  <dc:subject>Approved</dc:subject>
  <dc:creator>Industry Skills Australia</dc:creator>
  <cp:keywords>Release: 1</cp:keywords>
  <dc:description>Review Date: 12 April 2008</dc:description>
  <cp:lastModifiedBy>HSD_TPCMSd.prod</cp:lastModifiedBy>
  <cp:revision>3</cp:revision>
  <dcterms:created xsi:type="dcterms:W3CDTF">2024-07-12T07:43:00Z</dcterms:created>
  <dcterms:modified xsi:type="dcterms:W3CDTF">2024-07-12T07:43:00Z</dcterms:modified>
</cp:coreProperties>
</file>