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F72" w:rsidP="00EE3F72">
      <w:pPr>
        <w:pStyle w:val="Title"/>
      </w:pPr>
      <w:r>
        <w:fldChar w:fldCharType="begin"/>
      </w:r>
      <w:r>
        <w:instrText xml:space="preserve"> TITLE   \* MERGEFORMAT </w:instrText>
      </w:r>
      <w:r>
        <w:fldChar w:fldCharType="separate"/>
      </w:r>
      <w:r>
        <w:t>TLILIC0010 Licence to operate a slewing mobile crane (up to 20 tonnes)</w:t>
      </w:r>
      <w:r>
        <w:fldChar w:fldCharType="end"/>
      </w:r>
    </w:p>
    <w:p w:rsidR="00EE3F72" w:rsidP="00EE3F72">
      <w:pPr>
        <w:pStyle w:val="Version"/>
        <w:sectPr w:rsidSect="00FA30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3021" w:rsidP="00FA3021">
      <w:pPr>
        <w:pStyle w:val="SuperHeading"/>
      </w:pPr>
      <w:r w:rsidRPr="00FA3021">
        <w:t>TLILIC0010 Licence to operate a slewing mobile crane (up to 20 tonnes)</w:t>
      </w:r>
    </w:p>
    <w:p w:rsidR="00000000" w:rsidRPr="00FA3021" w:rsidP="00FA3021">
      <w:pPr>
        <w:pStyle w:val="Heading1"/>
      </w:pPr>
      <w:bookmarkStart w:id="1" w:name="O_1063249"/>
      <w:bookmarkEnd w:id="1"/>
      <w:r w:rsidRPr="00FA3021">
        <w:t>Modification History</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Release 2. This is the second release of this unit of competency in the TLI Transport and Logistics Training Package:</w:t>
            </w:r>
          </w:p>
          <w:p w:rsidR="00000000" w:rsidRPr="00FA3021" w:rsidP="00FA3021">
            <w:pPr>
              <w:pStyle w:val="ListBullet"/>
            </w:pPr>
            <w:r w:rsidRPr="00FA3021">
              <w:t>Minor state</w:t>
            </w:r>
            <w:r w:rsidRPr="00FA3021">
              <w:t>ment changes in unit Application</w:t>
            </w:r>
          </w:p>
          <w:p w:rsidR="00000000" w:rsidP="00FA3021">
            <w:pPr>
              <w:pStyle w:val="ListBullet"/>
              <w:rPr>
                <w:lang w:val="en-NZ"/>
              </w:rPr>
            </w:pPr>
            <w:r w:rsidRPr="00FA3021">
              <w:t>Minor statement changes in Assessment Conditions.</w:t>
            </w:r>
          </w:p>
        </w:tc>
      </w:tr>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Release 1. This is the first release of this unit of competency in the TLI Transport and Logistics Training Package.</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2" w:name="O_1063248"/>
      <w:bookmarkEnd w:id="2"/>
      <w:r w:rsidRPr="00FA3021">
        <w:t>Application</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This unit specifies th</w:t>
            </w:r>
            <w:r w:rsidRPr="00FA3021">
              <w:t>e skills and knowledge required to safely operate a slewing mobile crane with a maximum rated capacity (MRC) up to 20 tonnes, in accordance with all relevant legislative responsibilities. Competence in this unit, does not in itself result in a High Risk Wo</w:t>
            </w:r>
            <w:r w:rsidRPr="00FA3021">
              <w:t>rk Licence (HRWL) to operate this plant.</w:t>
            </w:r>
          </w:p>
          <w:p w:rsidR="00000000" w:rsidRPr="00FA3021" w:rsidP="00FA3021">
            <w:pPr>
              <w:pStyle w:val="BodyText"/>
            </w:pPr>
            <w:r w:rsidRPr="00FA3021">
              <w:t xml:space="preserve">A person undertaking this unit must hold: </w:t>
            </w:r>
          </w:p>
          <w:p w:rsidR="00000000" w:rsidRPr="00FA3021" w:rsidP="00FA3021">
            <w:pPr>
              <w:pStyle w:val="ListBullet"/>
            </w:pPr>
            <w:r w:rsidRPr="00FA3021">
              <w:t xml:space="preserve">a current National HRWL to perform dogging or a current certification for a specific VET course for HRWL to perform dogging that has been issued by, or on behalf of a WHS </w:t>
            </w:r>
            <w:r w:rsidRPr="00FA3021">
              <w:t>Regulator.</w:t>
            </w:r>
          </w:p>
          <w:p w:rsidR="00000000" w:rsidRPr="00FA3021" w:rsidP="00FA3021">
            <w:pPr>
              <w:pStyle w:val="BodyText"/>
            </w:pPr>
            <w:r w:rsidRPr="00FA3021">
              <w:t>Slewing mobile crane means a mobile crane incorporating a boom or jib that can be slewed, but does not include:</w:t>
            </w:r>
          </w:p>
          <w:p w:rsidR="00000000" w:rsidRPr="00FA3021" w:rsidP="00FA3021">
            <w:pPr>
              <w:pStyle w:val="ListBullet"/>
            </w:pPr>
            <w:r w:rsidRPr="00FA3021">
              <w:t>a front-end loader or</w:t>
            </w:r>
          </w:p>
          <w:p w:rsidR="00000000" w:rsidRPr="00FA3021" w:rsidP="00FA3021">
            <w:pPr>
              <w:pStyle w:val="ListBullet"/>
            </w:pPr>
            <w:r w:rsidRPr="00FA3021">
              <w:t>a backhoe or</w:t>
            </w:r>
          </w:p>
          <w:p w:rsidR="00000000" w:rsidRPr="00FA3021" w:rsidP="00FA3021">
            <w:pPr>
              <w:pStyle w:val="ListBullet"/>
            </w:pPr>
            <w:r w:rsidRPr="00FA3021">
              <w:t>an excavator or</w:t>
            </w:r>
          </w:p>
          <w:p w:rsidR="00000000" w:rsidRPr="00FA3021" w:rsidP="00FA3021">
            <w:pPr>
              <w:pStyle w:val="ListBullet"/>
            </w:pPr>
            <w:r w:rsidRPr="00FA3021">
              <w:t>other earth moving equipment, when configured for crane operation.</w:t>
            </w:r>
          </w:p>
          <w:p w:rsidR="00000000" w:rsidRPr="00FA3021" w:rsidP="00FA3021">
            <w:pPr>
              <w:pStyle w:val="BodyText"/>
            </w:pPr>
            <w:r w:rsidRPr="00FA3021">
              <w:t>A person performing this work is required to hold a slewing mobile crane with an MRC up to 20 tonnes high risk work (HRW) licence.</w:t>
            </w:r>
          </w:p>
          <w:p w:rsidR="00000000" w:rsidRPr="00FA3021" w:rsidP="00FA3021">
            <w:pPr>
              <w:pStyle w:val="BodyText"/>
            </w:pPr>
            <w:r w:rsidRPr="00FA3021">
              <w:t xml:space="preserve">This unit requires a person operating a slewing mobile crane with an MRC up to 20 tonnes to: </w:t>
            </w:r>
          </w:p>
          <w:p w:rsidR="00000000" w:rsidRPr="00FA3021" w:rsidP="00FA3021">
            <w:pPr>
              <w:pStyle w:val="ListBullet"/>
            </w:pPr>
            <w:r w:rsidRPr="00FA3021">
              <w:t>plan for the work/task</w:t>
            </w:r>
          </w:p>
          <w:p w:rsidR="00000000" w:rsidRPr="00FA3021" w:rsidP="00FA3021">
            <w:pPr>
              <w:pStyle w:val="ListBullet"/>
            </w:pPr>
            <w:r w:rsidRPr="00FA3021">
              <w:t>prepare</w:t>
            </w:r>
            <w:r w:rsidRPr="00FA3021">
              <w:t xml:space="preserve"> for the work/task</w:t>
            </w:r>
          </w:p>
          <w:p w:rsidR="00000000" w:rsidRPr="00FA3021" w:rsidP="00FA3021">
            <w:pPr>
              <w:pStyle w:val="ListBullet"/>
            </w:pPr>
            <w:r w:rsidRPr="00FA3021">
              <w:t xml:space="preserve">perform work/task </w:t>
            </w:r>
          </w:p>
          <w:p w:rsidR="00000000" w:rsidRPr="00FA3021" w:rsidP="00FA3021">
            <w:pPr>
              <w:pStyle w:val="ListBullet"/>
            </w:pPr>
            <w:r w:rsidRPr="00FA3021">
              <w:t xml:space="preserve">pack up </w:t>
            </w:r>
          </w:p>
          <w:p w:rsidR="00000000" w:rsidRPr="00FA3021" w:rsidP="00FA3021">
            <w:pPr>
              <w:pStyle w:val="BodyText"/>
            </w:pPr>
            <w:r w:rsidRPr="00FA3021">
              <w:rPr>
                <w:rStyle w:val="SpecialBold"/>
              </w:rPr>
              <w:t>Licensing/Regulatory Information</w:t>
            </w:r>
          </w:p>
          <w:p w:rsidR="00000000" w:rsidRPr="00FA3021" w:rsidP="00FA3021">
            <w:pPr>
              <w:pStyle w:val="BodyText"/>
            </w:pPr>
            <w:r w:rsidRPr="00FA3021">
              <w:t xml:space="preserve">Legislative and regulatory requirements are applicable to this unit of competency. </w:t>
            </w:r>
          </w:p>
          <w:p w:rsidR="00000000" w:rsidRPr="00FA3021" w:rsidP="00FA3021">
            <w:pPr>
              <w:pStyle w:val="BodyText"/>
            </w:pPr>
            <w:r w:rsidRPr="00FA3021">
              <w:t>This unit is based on the licensing requirements of Part 4.5 of the Model Work Health and Sa</w:t>
            </w:r>
            <w:r w:rsidRPr="00FA3021">
              <w:t xml:space="preserve">fety (WHS) Regulations and meets Commonwealth, State and Territory HRWL requirements. </w:t>
            </w:r>
          </w:p>
          <w:p w:rsidR="00000000" w:rsidRPr="00FA3021" w:rsidP="00FA3021">
            <w:pPr>
              <w:pStyle w:val="BodyText"/>
            </w:pPr>
            <w:r w:rsidRPr="00FA3021">
              <w:t xml:space="preserve">The National Assessment Instrument (NAI) is the mandated assessment for the HRWL to operate the relevant licencing class as detailed in this unit.  </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3" w:name="O_1063247"/>
      <w:bookmarkEnd w:id="3"/>
      <w:r w:rsidRPr="00FA3021">
        <w:t>Pre-requisite Unit</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 xml:space="preserve">Not applicable </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4" w:name="O_1063246"/>
      <w:bookmarkEnd w:id="4"/>
      <w:r w:rsidRPr="00FA3021">
        <w:t>Competency Field</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LIC - Licencing Units</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5" w:name="O_1063245"/>
      <w:bookmarkEnd w:id="5"/>
      <w:r w:rsidRPr="00FA3021">
        <w:t>Unit Sector</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Not applicable</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6" w:name="O_1063244"/>
      <w:bookmarkEnd w:id="6"/>
      <w:r w:rsidRPr="00FA3021">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FA3021">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PERFORMANCE CRITERIA</w:t>
            </w:r>
          </w:p>
        </w:tc>
      </w:tr>
      <w:tr w:rsidTr="00FA3021">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Performance criteria describe the performance needed to demonstrate achievement of the element.</w:t>
            </w:r>
          </w:p>
        </w:tc>
      </w:tr>
      <w:tr w:rsidTr="00FA3021">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Task requirements are identified from work orders or equivalent and a lift plan is confirmed w</w:t>
            </w:r>
            <w:r w:rsidRPr="00FA3021">
              <w:t>ith associated personnel and a site inspection is conducted in accordance with workplace procedures</w:t>
            </w:r>
          </w:p>
        </w:tc>
      </w:tr>
      <w:tr w:rsidTr="00FA3021">
        <w:tblPrEx>
          <w:tblW w:w="9498" w:type="dxa"/>
          <w:tblLayout w:type="fixed"/>
          <w:tblCellMar>
            <w:left w:w="62" w:type="dxa"/>
            <w:right w:w="62" w:type="dxa"/>
          </w:tblCellMar>
          <w:tblLook w:val="0000"/>
        </w:tblPrEx>
        <w:trPr>
          <w:trHeight w:val="3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Work area operating surface is confirmed to determine ground suitability for operational use of mobile crane in accordance with workplace procedures</w:t>
            </w:r>
          </w:p>
        </w:tc>
      </w:tr>
      <w:tr w:rsidTr="00FA3021">
        <w:tblPrEx>
          <w:tblW w:w="9498" w:type="dxa"/>
          <w:tblLayout w:type="fixed"/>
          <w:tblCellMar>
            <w:left w:w="62" w:type="dxa"/>
            <w:right w:w="62" w:type="dxa"/>
          </w:tblCellMar>
          <w:tblLook w:val="0000"/>
        </w:tblPrEx>
        <w:trPr>
          <w:trHeight w:val="12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Mobile crane rated capacity (RC) and the lifting gear Working Load Limit (WLL) are established for the load/s and work/task requirements in accordance with manufacturer requirements and workplace procedures </w:t>
            </w:r>
          </w:p>
        </w:tc>
      </w:tr>
      <w:tr w:rsidTr="00FA3021">
        <w:tblPrEx>
          <w:tblW w:w="9498" w:type="dxa"/>
          <w:tblLayout w:type="fixed"/>
          <w:tblCellMar>
            <w:left w:w="62" w:type="dxa"/>
            <w:right w:w="62" w:type="dxa"/>
          </w:tblCellMar>
          <w:tblLook w:val="0000"/>
        </w:tblPrEx>
        <w:trPr>
          <w:trHeight w:val="72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Appropriate paths f</w:t>
            </w:r>
            <w:r w:rsidRPr="00FA3021">
              <w:t xml:space="preserve">or operating the mobile crane and moving and placing load/s in work area are assessed and determined in accordance with workplace procedures </w:t>
            </w:r>
          </w:p>
        </w:tc>
      </w:tr>
      <w:tr w:rsidTr="00FA3021">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Relevant hazard identification and risk elimination/control measures are applied and advised to associated personnel in accordance with workplace procedures </w:t>
            </w:r>
          </w:p>
        </w:tc>
      </w:tr>
      <w:tr w:rsidTr="00FA3021">
        <w:tblPrEx>
          <w:tblW w:w="9498" w:type="dxa"/>
          <w:tblLayout w:type="fixed"/>
          <w:tblCellMar>
            <w:left w:w="62" w:type="dxa"/>
            <w:right w:w="62" w:type="dxa"/>
          </w:tblCellMar>
          <w:tblLook w:val="0000"/>
        </w:tblPrEx>
        <w:trPr>
          <w:trHeight w:val="40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Traffic management plan implementation is confirmed in accordance with workplace procedures</w:t>
            </w:r>
            <w:r w:rsidRPr="00FA3021">
              <w:t xml:space="preserve"> </w:t>
            </w:r>
          </w:p>
        </w:tc>
      </w:tr>
      <w:tr w:rsidTr="00FA3021">
        <w:tblPrEx>
          <w:tblW w:w="9498" w:type="dxa"/>
          <w:tblLayout w:type="fixed"/>
          <w:tblCellMar>
            <w:left w:w="62" w:type="dxa"/>
            <w:right w:w="62" w:type="dxa"/>
          </w:tblCellMar>
          <w:tblLook w:val="0000"/>
        </w:tblPrEx>
        <w:trPr>
          <w:trHeight w:val="3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Appropriate communication procedures are identified with associated personnel in accordance with workplace procedures</w:t>
            </w:r>
          </w:p>
        </w:tc>
      </w:tr>
      <w:tr w:rsidTr="00FA3021">
        <w:tblPrEx>
          <w:tblW w:w="9498" w:type="dxa"/>
          <w:tblLayout w:type="fixed"/>
          <w:tblCellMar>
            <w:left w:w="62" w:type="dxa"/>
            <w:right w:w="62" w:type="dxa"/>
          </w:tblCellMar>
          <w:tblLook w:val="0000"/>
        </w:tblPrEx>
        <w:trPr>
          <w:trHeight w:val="570"/>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All crane and lifting operations are confirmed to ensure relevant work area requirements are correct in accordance with a lift plan and workplace procedures</w:t>
            </w:r>
          </w:p>
        </w:tc>
      </w:tr>
      <w:tr w:rsidTr="00FA3021">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Consultation with workplace personnel is established and </w:t>
            </w:r>
            <w:r w:rsidRPr="00FA3021">
              <w:t>maintained to ensure lift plan is clear and consistent with site requirements in accordance with a lift plan and workplace procedures</w:t>
            </w:r>
          </w:p>
        </w:tc>
      </w:tr>
      <w:tr w:rsidTr="00FA3021">
        <w:tblPrEx>
          <w:tblW w:w="9498" w:type="dxa"/>
          <w:tblLayout w:type="fixed"/>
          <w:tblCellMar>
            <w:left w:w="62" w:type="dxa"/>
            <w:right w:w="62" w:type="dxa"/>
          </w:tblCellMar>
          <w:tblLook w:val="0000"/>
        </w:tblPrEx>
        <w:trPr>
          <w:trHeight w:val="6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Risk control measures for hazards identified are checked for implementation in accordance with the lift plan and sa</w:t>
            </w:r>
            <w:r w:rsidRPr="00FA3021">
              <w:t>fe work procedures</w:t>
            </w:r>
          </w:p>
        </w:tc>
      </w:tr>
      <w:tr w:rsidTr="00FA3021">
        <w:tblPrEx>
          <w:tblW w:w="9498" w:type="dxa"/>
          <w:tblLayout w:type="fixed"/>
          <w:tblCellMar>
            <w:left w:w="62" w:type="dxa"/>
            <w:right w:w="62" w:type="dxa"/>
          </w:tblCellMar>
          <w:tblLook w:val="0000"/>
        </w:tblPrEx>
        <w:trPr>
          <w:trHeight w:val="31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Mobile crane is accessed safely in accordance with manufacturer requirements and safe work procedures</w:t>
            </w:r>
          </w:p>
        </w:tc>
      </w:tr>
      <w:tr w:rsidTr="00FA3021">
        <w:tblPrEx>
          <w:tblW w:w="9498" w:type="dxa"/>
          <w:tblLayout w:type="fixed"/>
          <w:tblCellMar>
            <w:left w:w="62" w:type="dxa"/>
            <w:right w:w="62" w:type="dxa"/>
          </w:tblCellMar>
          <w:tblLook w:val="0000"/>
        </w:tblPrEx>
        <w:trPr>
          <w:trHeight w:val="76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Pre-start mobile crane checks are carried out and any damage and defects are reported, recorded and appropriate action is taken in accordance with manufacturer requirements and safe work procedures</w:t>
            </w:r>
          </w:p>
        </w:tc>
      </w:tr>
      <w:tr w:rsidTr="00FA3021">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Mobile crane is set up correctly with any lifting gear as and stabilised as per the lift plan in accordance with relevant manufacturer requirements including load chart/s and safe work procedures</w:t>
            </w:r>
          </w:p>
        </w:tc>
      </w:tr>
      <w:tr w:rsidTr="00FA3021">
        <w:tblPrEx>
          <w:tblW w:w="9498"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Fly jib is set up as required in accordance with spec</w:t>
            </w:r>
            <w:r w:rsidRPr="00FA3021">
              <w:t>ific manufacturer requirements and safe work procedures</w:t>
            </w:r>
          </w:p>
        </w:tc>
      </w:tr>
      <w:tr w:rsidTr="00FA3021">
        <w:tblPrEx>
          <w:tblW w:w="9498" w:type="dxa"/>
          <w:tblLayout w:type="fixed"/>
          <w:tblCellMar>
            <w:left w:w="62" w:type="dxa"/>
            <w:right w:w="62" w:type="dxa"/>
          </w:tblCellMar>
          <w:tblLook w:val="0000"/>
        </w:tblPrEx>
        <w:trPr>
          <w:trHeight w:val="63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Operational checks are carried out and any damage and defects are reported, recorded and appropriate action is taken in accordance with manufacturer requirements and safe work procedures</w:t>
            </w:r>
          </w:p>
        </w:tc>
      </w:tr>
      <w:tr w:rsidTr="00FA3021">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Crane logbook is checked to confirm current compliance, is correct for the crane type, is completed and signed and required rectifications have been signed off in accordance with manufacturer requirements and safe work procedures</w:t>
            </w:r>
          </w:p>
        </w:tc>
      </w:tr>
      <w:tr w:rsidTr="00FA3021">
        <w:tblPrEx>
          <w:tblW w:w="9498" w:type="dxa"/>
          <w:tblLayout w:type="fixed"/>
          <w:tblCellMar>
            <w:left w:w="62" w:type="dxa"/>
            <w:right w:w="62" w:type="dxa"/>
          </w:tblCellMar>
          <w:tblLook w:val="0000"/>
        </w:tblPrEx>
        <w:trPr>
          <w:trHeight w:val="949"/>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Weather and work environment conditions are assessed to determine any impact on mobile crane operations in accordance with manufacturer requirements and safe work procedures</w:t>
            </w:r>
          </w:p>
        </w:tc>
      </w:tr>
      <w:tr w:rsidTr="00FA3021">
        <w:tblPrEx>
          <w:tblW w:w="9498" w:type="dxa"/>
          <w:tblLayout w:type="fixed"/>
          <w:tblCellMar>
            <w:left w:w="62" w:type="dxa"/>
            <w:right w:w="62" w:type="dxa"/>
          </w:tblCellMar>
          <w:tblLook w:val="0000"/>
        </w:tblPrEx>
        <w:trPr>
          <w:trHeight w:val="375"/>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Lifts are determined within the RC of the mobile crane i</w:t>
            </w:r>
            <w:r w:rsidRPr="00FA3021">
              <w:t>n accordance with the load chart/s and lift plan</w:t>
            </w:r>
          </w:p>
        </w:tc>
      </w:tr>
      <w:tr w:rsidTr="00FA3021">
        <w:tblPrEx>
          <w:tblW w:w="9498" w:type="dxa"/>
          <w:tblLayout w:type="fixed"/>
          <w:tblCellMar>
            <w:left w:w="62" w:type="dxa"/>
            <w:right w:w="62" w:type="dxa"/>
          </w:tblCellMar>
          <w:tblLook w:val="0000"/>
        </w:tblPrEx>
        <w:trPr>
          <w:trHeight w:val="6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Boom/jib and hook block is safely positioned over the load following directions from associated personnel in accordance with the lift plan and safe work procedures </w:t>
            </w:r>
          </w:p>
        </w:tc>
      </w:tr>
      <w:tr w:rsidTr="00FA3021">
        <w:tblPrEx>
          <w:tblW w:w="9498" w:type="dxa"/>
          <w:tblLayout w:type="fixed"/>
          <w:tblCellMar>
            <w:left w:w="62" w:type="dxa"/>
            <w:right w:w="62" w:type="dxa"/>
          </w:tblCellMar>
          <w:tblLook w:val="0000"/>
        </w:tblPrEx>
        <w:trPr>
          <w:trHeight w:val="7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Main hook including any lifting gear, where required are connected to the load and used safely in accordance with the lift plan, safe work procedures and manufacturer requirements</w:t>
            </w:r>
          </w:p>
        </w:tc>
      </w:tr>
      <w:tr w:rsidTr="00FA3021">
        <w:tblPrEx>
          <w:tblW w:w="9498" w:type="dxa"/>
          <w:tblLayout w:type="fixed"/>
          <w:tblCellMar>
            <w:left w:w="62" w:type="dxa"/>
            <w:right w:w="62" w:type="dxa"/>
          </w:tblCellMar>
          <w:tblLook w:val="0000"/>
        </w:tblPrEx>
        <w:trPr>
          <w:trHeight w:val="42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Test lift is carried out in accordance with dogging and safe work procedures</w:t>
            </w:r>
          </w:p>
        </w:tc>
      </w:tr>
      <w:tr w:rsidTr="00FA3021">
        <w:tblPrEx>
          <w:tblW w:w="9498" w:type="dxa"/>
          <w:tblLayout w:type="fixed"/>
          <w:tblCellMar>
            <w:left w:w="62" w:type="dxa"/>
            <w:right w:w="62" w:type="dxa"/>
          </w:tblCellMar>
          <w:tblLook w:val="0000"/>
        </w:tblPrEx>
        <w:trPr>
          <w:trHeight w:val="4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Loads are transferred using relevant crane movements and tag lines as required, in accordance with lift plan and safe work procedures</w:t>
            </w:r>
          </w:p>
        </w:tc>
      </w:tr>
      <w:tr w:rsidTr="00FA3021">
        <w:tblPrEx>
          <w:tblW w:w="9498" w:type="dxa"/>
          <w:tblLayout w:type="fixed"/>
          <w:tblCellMar>
            <w:left w:w="62" w:type="dxa"/>
            <w:right w:w="62" w:type="dxa"/>
          </w:tblCellMar>
          <w:tblLook w:val="0000"/>
        </w:tblPrEx>
        <w:trPr>
          <w:trHeight w:val="4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Load and crane movement is monitored constantly and crane is operated safely in accordance with lift plan and safe work procedures</w:t>
            </w:r>
          </w:p>
        </w:tc>
      </w:tr>
      <w:tr w:rsidTr="00FA3021">
        <w:tblPrEx>
          <w:tblW w:w="9498" w:type="dxa"/>
          <w:tblLayout w:type="fixed"/>
          <w:tblCellMar>
            <w:left w:w="62" w:type="dxa"/>
            <w:right w:w="62" w:type="dxa"/>
          </w:tblCellMar>
          <w:tblLook w:val="0000"/>
        </w:tblPrEx>
        <w:trPr>
          <w:trHeight w:val="6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All required communication signals are correctly interpreted and followed whilst crane is operated in accordance with </w:t>
            </w:r>
            <w:r w:rsidRPr="00FA3021">
              <w:t xml:space="preserve">the lift plan and safe work procedures </w:t>
            </w:r>
          </w:p>
        </w:tc>
      </w:tr>
      <w:tr w:rsidTr="00FA3021">
        <w:tblPrEx>
          <w:tblW w:w="9498" w:type="dxa"/>
          <w:tblLayout w:type="fixed"/>
          <w:tblCellMar>
            <w:left w:w="62" w:type="dxa"/>
            <w:right w:w="62" w:type="dxa"/>
          </w:tblCellMar>
          <w:tblLook w:val="0000"/>
        </w:tblPrEx>
        <w:trPr>
          <w:trHeight w:val="43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Load is lowered and landed safely in accordance with lift plan and safe work procedures</w:t>
            </w:r>
          </w:p>
        </w:tc>
      </w:tr>
      <w:tr w:rsidTr="00FA3021">
        <w:tblPrEx>
          <w:tblW w:w="9498" w:type="dxa"/>
          <w:tblLayout w:type="fixed"/>
          <w:tblCellMar>
            <w:left w:w="62" w:type="dxa"/>
            <w:right w:w="62" w:type="dxa"/>
          </w:tblCellMar>
          <w:tblLook w:val="0000"/>
        </w:tblPrEx>
        <w:trPr>
          <w:trHeight w:val="675"/>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 xml:space="preserve">Lifting gear is positioned for safe disconnection from the load and crane is positioned for next task in accordance with lift plan and safe work procedures </w:t>
            </w:r>
          </w:p>
        </w:tc>
      </w:tr>
      <w:tr w:rsidTr="00FA3021">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rPr>
                <w:rStyle w:val="SpecialBold"/>
              </w:rPr>
              <w:t xml:space="preserve">Pack up </w:t>
            </w: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Crane boom/jib, lifting gear and associated equipment is stowed and secured as required in accordance with manufacturer requirements and safe work procedures</w:t>
            </w:r>
          </w:p>
        </w:tc>
      </w:tr>
      <w:tr w:rsidTr="00FA3021">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Crane fly jib is removed to storage position and secured as required in accordance with man</w:t>
            </w:r>
            <w:r w:rsidRPr="00FA3021">
              <w:t>ufacturer requirements and safe work procedures</w:t>
            </w:r>
          </w:p>
        </w:tc>
      </w:tr>
      <w:tr w:rsidTr="00FA3021">
        <w:tblPrEx>
          <w:tblW w:w="9498" w:type="dxa"/>
          <w:tblLayout w:type="fixed"/>
          <w:tblCellMar>
            <w:left w:w="62" w:type="dxa"/>
            <w:right w:w="62" w:type="dxa"/>
          </w:tblCellMar>
          <w:tblLook w:val="0000"/>
        </w:tblPrEx>
        <w:trPr>
          <w:trHeight w:val="51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Relevant motion locks and brakes are applied as required in accordance with manufacturer requirements and safe work procedures</w:t>
            </w:r>
          </w:p>
        </w:tc>
      </w:tr>
      <w:tr w:rsidTr="00FA3021">
        <w:tblPrEx>
          <w:tblW w:w="9498" w:type="dxa"/>
          <w:tblLayout w:type="fixed"/>
          <w:tblCellMar>
            <w:left w:w="62" w:type="dxa"/>
            <w:right w:w="62" w:type="dxa"/>
          </w:tblCellMar>
          <w:tblLook w:val="0000"/>
        </w:tblPrEx>
        <w:trPr>
          <w:trHeight w:val="42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Outriggers, plates and/or packi</w:t>
            </w:r>
            <w:r w:rsidRPr="00FA3021">
              <w:t>ng are stowed and secured in accordance with manufacturer requirements and safe work procedures</w:t>
            </w:r>
          </w:p>
        </w:tc>
      </w:tr>
      <w:tr w:rsidTr="00FA3021">
        <w:tblPrEx>
          <w:tblW w:w="9498" w:type="dxa"/>
          <w:tblLayout w:type="fixed"/>
          <w:tblCellMar>
            <w:left w:w="62" w:type="dxa"/>
            <w:right w:w="62" w:type="dxa"/>
          </w:tblCellMar>
          <w:tblLook w:val="0000"/>
        </w:tblPrEx>
        <w:trPr>
          <w:trHeight w:val="3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t>Crane is shut down and secured to prevent unauthorised access/use in accordance with safe work procedures</w:t>
            </w:r>
          </w:p>
        </w:tc>
      </w:tr>
      <w:tr w:rsidTr="00FA3021">
        <w:tblPrEx>
          <w:tblW w:w="9498" w:type="dxa"/>
          <w:tblLayout w:type="fixed"/>
          <w:tblCellMar>
            <w:left w:w="62" w:type="dxa"/>
            <w:right w:w="62" w:type="dxa"/>
          </w:tblCellMar>
          <w:tblLook w:val="0000"/>
        </w:tblPrEx>
        <w:trPr>
          <w:trHeight w:val="3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FA3021">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FA3021">
            <w:pPr>
              <w:pStyle w:val="BodyText"/>
              <w:rPr>
                <w:lang w:val="en-NZ"/>
              </w:rPr>
            </w:pPr>
            <w:r w:rsidRPr="00FA3021">
              <w:rPr>
                <w:rStyle w:val="SpecialBold"/>
              </w:rPr>
              <w:t>4.6</w:t>
            </w:r>
          </w:p>
        </w:tc>
        <w:tc>
          <w:tcPr>
            <w:tcW w:w="5593"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Shut down crane checks are carried out in accordance with safe work procedures and manufacturer requirements</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7" w:name="O_1063243"/>
      <w:bookmarkEnd w:id="7"/>
      <w:r w:rsidRPr="00FA3021">
        <w:t>Foundation Skills</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Foundation skills essential to performance are explicit in the performance criteria of this unit of competen</w:t>
            </w:r>
            <w:r w:rsidRPr="00FA3021">
              <w:t>cy</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8" w:name="O_1063242"/>
      <w:bookmarkEnd w:id="8"/>
      <w:r w:rsidRPr="00FA3021">
        <w:t>Range of Conditions</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Range is restricted to essential operating conditions and any other variables essential to the work environment.</w:t>
            </w:r>
          </w:p>
          <w:p w:rsidR="00000000" w:rsidRPr="00FA3021" w:rsidP="00FA3021">
            <w:pPr>
              <w:pStyle w:val="BodyText"/>
            </w:pPr>
            <w:r w:rsidRPr="00FA3021">
              <w:t>Non -essential conditions may be found in the Companion Volume Implementation Guide.</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9" w:name="O_1063241"/>
      <w:bookmarkEnd w:id="9"/>
      <w:r w:rsidRPr="00FA3021">
        <w:t>Unit Mapping Information</w:t>
      </w:r>
    </w:p>
    <w:tbl>
      <w:tblPr>
        <w:tblW w:w="9497" w:type="dxa"/>
        <w:tblLayout w:type="fixed"/>
        <w:tblCellMar>
          <w:left w:w="62" w:type="dxa"/>
          <w:right w:w="62" w:type="dxa"/>
        </w:tblCellMar>
        <w:tblLook w:val="0000"/>
      </w:tblPr>
      <w:tblGrid>
        <w:gridCol w:w="9497"/>
      </w:tblGrid>
      <w:tr w:rsidTr="00FA30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021" w:rsidP="00FA3021">
            <w:pPr>
              <w:pStyle w:val="BodyText"/>
            </w:pPr>
            <w:r w:rsidRPr="00FA3021">
              <w:t>This unit replaces and is equivalent to TLILIC3008 Licence to operate a slewing mobile crane (up to 20 tonnes)</w:t>
            </w:r>
          </w:p>
        </w:tc>
      </w:tr>
    </w:tbl>
    <w:p w:rsidR="00000000" w:rsidRPr="00FA3021" w:rsidP="00FA3021">
      <w:pPr>
        <w:pStyle w:val="NoPaddingFontSize1"/>
      </w:pPr>
    </w:p>
    <w:p w:rsidR="00000000" w:rsidRPr="00FA3021" w:rsidP="00FA3021">
      <w:pPr>
        <w:pStyle w:val="AllowPageBreak"/>
      </w:pPr>
    </w:p>
    <w:p w:rsidR="00000000" w:rsidRPr="00FA3021" w:rsidP="00FA3021">
      <w:pPr>
        <w:pStyle w:val="Heading1"/>
      </w:pPr>
      <w:bookmarkStart w:id="10" w:name="O_1063250"/>
      <w:bookmarkEnd w:id="10"/>
      <w:r w:rsidRPr="00FA3021">
        <w:t>Links</w:t>
      </w:r>
    </w:p>
    <w:p w:rsidR="00000000" w:rsidRPr="00FA3021" w:rsidP="00EE3F72">
      <w:pPr>
        <w:pStyle w:val="BodyText"/>
      </w:pPr>
      <w:r w:rsidRPr="00FA3021">
        <w:t xml:space="preserve">Companion Volume Implementation Guide - </w:t>
      </w:r>
      <w:r>
        <w:fldChar w:fldCharType="begin"/>
      </w:r>
      <w:r>
        <w:instrText xml:space="preserve"> HYPERLINK "https://vetnet.gov.au/Pages/TrainingDocs.aspx?q=df441c6e-213d-43e3-874c-0b3f7036d851" </w:instrText>
      </w:r>
      <w:r>
        <w:fldChar w:fldCharType="separate"/>
      </w:r>
      <w:r w:rsidRPr="006C3F83">
        <w:rPr>
          <w:rStyle w:val="Hyperlink"/>
        </w:rPr>
        <w:t>https://vetnet.gov.au/Pages/TrainingDocs.aspx?q=df441c6e-213d-43e3-874c-0b3f7036d851</w:t>
      </w:r>
      <w:r>
        <w:fldChar w:fldCharType="end"/>
      </w:r>
    </w:p>
    <w:p w:rsidR="00000000" w:rsidRPr="00FA3021" w:rsidP="00FA3021"/>
    <w:sectPr w:rsidSect="00FA30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21" w:rsidRPr="00EE3F72" w:rsidP="00EE3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72" w:rsidP="00FA3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3F72" w:rsidP="00FA30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3F72" w:rsidP="00FA3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021" w:rsidRPr="00EE3F72" w:rsidP="00EE3F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72" w:rsidRPr="002D2AF8" w:rsidP="00FA3021">
    <w:pPr>
      <w:pStyle w:val="Header"/>
      <w:framePr w:wrap="around"/>
    </w:pPr>
    <w:r>
      <w:fldChar w:fldCharType="begin"/>
    </w:r>
    <w:r>
      <w:instrText xml:space="preserve"> TITLE   \* MERGEFORMAT </w:instrText>
    </w:r>
    <w:r>
      <w:fldChar w:fldCharType="separate"/>
    </w:r>
    <w:r>
      <w:t>TLILIC0010 Licence to operate a slewing mobile crane (up to 20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E3F72" w:rsidP="00FA3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2AF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123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021"/>
    <w:pPr>
      <w:spacing w:before="360" w:after="60"/>
      <w:outlineLvl w:val="0"/>
    </w:pPr>
    <w:rPr>
      <w:sz w:val="32"/>
    </w:rPr>
  </w:style>
  <w:style w:type="paragraph" w:styleId="Heading2">
    <w:name w:val="heading 2"/>
    <w:basedOn w:val="HeadingBase"/>
    <w:next w:val="BodyText"/>
    <w:link w:val="Heading2Char"/>
    <w:qFormat/>
    <w:rsid w:val="00FA3021"/>
    <w:pPr>
      <w:keepLines/>
      <w:spacing w:before="240" w:after="120"/>
      <w:outlineLvl w:val="1"/>
    </w:pPr>
    <w:rPr>
      <w:sz w:val="28"/>
      <w:szCs w:val="40"/>
    </w:rPr>
  </w:style>
  <w:style w:type="paragraph" w:styleId="Heading3">
    <w:name w:val="heading 3"/>
    <w:basedOn w:val="HeadingBase"/>
    <w:next w:val="BodyText"/>
    <w:link w:val="Heading3Char"/>
    <w:qFormat/>
    <w:rsid w:val="00FA3021"/>
    <w:pPr>
      <w:spacing w:before="180" w:after="120"/>
      <w:outlineLvl w:val="2"/>
    </w:pPr>
    <w:rPr>
      <w:spacing w:val="-10"/>
      <w:kern w:val="32"/>
    </w:rPr>
  </w:style>
  <w:style w:type="paragraph" w:styleId="Heading4">
    <w:name w:val="heading 4"/>
    <w:basedOn w:val="HeadingBase"/>
    <w:next w:val="BodyText"/>
    <w:link w:val="Heading4Char"/>
    <w:qFormat/>
    <w:rsid w:val="00FA3021"/>
    <w:pPr>
      <w:spacing w:before="160" w:after="120"/>
      <w:outlineLvl w:val="3"/>
    </w:pPr>
    <w:rPr>
      <w:sz w:val="22"/>
    </w:rPr>
  </w:style>
  <w:style w:type="paragraph" w:styleId="Heading5">
    <w:name w:val="heading 5"/>
    <w:basedOn w:val="HeadingBase"/>
    <w:next w:val="Normal"/>
    <w:link w:val="Heading5Char"/>
    <w:qFormat/>
    <w:rsid w:val="00FA3021"/>
    <w:pPr>
      <w:spacing w:before="80"/>
      <w:outlineLvl w:val="4"/>
    </w:pPr>
    <w:rPr>
      <w:color w:val="918585"/>
      <w:sz w:val="20"/>
    </w:rPr>
  </w:style>
  <w:style w:type="paragraph" w:styleId="Heading6">
    <w:name w:val="heading 6"/>
    <w:basedOn w:val="HeadingBase"/>
    <w:next w:val="Normal"/>
    <w:link w:val="Heading6Char"/>
    <w:qFormat/>
    <w:rsid w:val="00FA3021"/>
    <w:pPr>
      <w:spacing w:before="60"/>
      <w:outlineLvl w:val="5"/>
    </w:pPr>
    <w:rPr>
      <w:color w:val="918585"/>
      <w:sz w:val="20"/>
    </w:rPr>
  </w:style>
  <w:style w:type="paragraph" w:styleId="Heading7">
    <w:name w:val="heading 7"/>
    <w:basedOn w:val="Normal"/>
    <w:next w:val="Normal"/>
    <w:link w:val="Heading7Char"/>
    <w:qFormat/>
    <w:rsid w:val="00FA3021"/>
    <w:pPr>
      <w:ind w:left="720"/>
      <w:outlineLvl w:val="6"/>
    </w:pPr>
    <w:rPr>
      <w:i/>
    </w:rPr>
  </w:style>
  <w:style w:type="paragraph" w:styleId="Heading8">
    <w:name w:val="heading 8"/>
    <w:basedOn w:val="Normal"/>
    <w:next w:val="Normal"/>
    <w:link w:val="Heading8Char"/>
    <w:qFormat/>
    <w:rsid w:val="00FA3021"/>
    <w:pPr>
      <w:ind w:left="720"/>
      <w:outlineLvl w:val="7"/>
    </w:pPr>
    <w:rPr>
      <w:i/>
    </w:rPr>
  </w:style>
  <w:style w:type="paragraph" w:styleId="Heading9">
    <w:name w:val="heading 9"/>
    <w:basedOn w:val="Normal"/>
    <w:next w:val="Normal"/>
    <w:link w:val="Heading9Char"/>
    <w:qFormat/>
    <w:rsid w:val="00FA3021"/>
    <w:pPr>
      <w:ind w:left="720"/>
      <w:outlineLvl w:val="8"/>
    </w:pPr>
    <w:rPr>
      <w:i/>
    </w:rPr>
  </w:style>
  <w:style w:type="character" w:default="1" w:styleId="DefaultParagraphFont">
    <w:name w:val="Default Paragraph Font"/>
    <w:uiPriority w:val="1"/>
    <w:unhideWhenUsed/>
    <w:rsid w:val="00FA3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021"/>
  </w:style>
  <w:style w:type="character" w:customStyle="1" w:styleId="Heading1Char">
    <w:name w:val="Heading 1 Char"/>
    <w:basedOn w:val="DefaultParagraphFont"/>
    <w:link w:val="Heading1"/>
    <w:rsid w:val="00FA3021"/>
    <w:rPr>
      <w:rFonts w:ascii="Times New Roman" w:eastAsia="Times New Roman" w:hAnsi="Times New Roman" w:cs="Times New Roman"/>
      <w:b/>
      <w:sz w:val="32"/>
      <w:szCs w:val="20"/>
      <w:lang w:eastAsia="en-US"/>
    </w:rPr>
  </w:style>
  <w:style w:type="paragraph" w:styleId="BodyText">
    <w:name w:val="Body Text"/>
    <w:basedOn w:val="Normal"/>
    <w:link w:val="BodyTextChar"/>
    <w:rsid w:val="00FA30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021"/>
    <w:rPr>
      <w:rFonts w:ascii="Times New Roman" w:eastAsia="Times New Roman" w:hAnsi="Times New Roman" w:cs="Times New Roman"/>
      <w:sz w:val="24"/>
      <w:lang w:eastAsia="en-US"/>
    </w:rPr>
  </w:style>
  <w:style w:type="paragraph" w:styleId="ListBullet">
    <w:name w:val="List Bullet"/>
    <w:basedOn w:val="List"/>
    <w:rsid w:val="00FA3021"/>
    <w:pPr>
      <w:numPr>
        <w:numId w:val="11"/>
      </w:numPr>
      <w:tabs>
        <w:tab w:val="clear" w:pos="340"/>
      </w:tabs>
      <w:spacing w:before="40" w:after="40"/>
    </w:pPr>
  </w:style>
  <w:style w:type="character" w:customStyle="1" w:styleId="SpecialBold">
    <w:name w:val="Special Bold"/>
    <w:basedOn w:val="DefaultParagraphFont"/>
    <w:rsid w:val="00FA3021"/>
    <w:rPr>
      <w:b/>
      <w:spacing w:val="0"/>
    </w:rPr>
  </w:style>
  <w:style w:type="paragraph" w:customStyle="1" w:styleId="SuperHeading">
    <w:name w:val="SuperHeading"/>
    <w:basedOn w:val="Normal"/>
    <w:rsid w:val="00FA3021"/>
    <w:pPr>
      <w:spacing w:before="240" w:after="120"/>
      <w:outlineLvl w:val="0"/>
    </w:pPr>
    <w:rPr>
      <w:rFonts w:ascii="Times New Roman" w:hAnsi="Times New Roman"/>
      <w:b/>
      <w:sz w:val="32"/>
    </w:rPr>
  </w:style>
  <w:style w:type="paragraph" w:customStyle="1" w:styleId="AllowPageBreak">
    <w:name w:val="AllowPageBreak"/>
    <w:rsid w:val="00FA30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021"/>
    <w:rPr>
      <w:rFonts w:ascii="Courier New" w:eastAsia="Times New Roman" w:hAnsi="Courier New" w:cs="Times New Roman"/>
      <w:i/>
      <w:szCs w:val="20"/>
      <w:lang w:eastAsia="en-US"/>
    </w:rPr>
  </w:style>
  <w:style w:type="paragraph" w:customStyle="1" w:styleId="HeadingBase">
    <w:name w:val="Heading Base"/>
    <w:rsid w:val="00FA3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021"/>
    <w:pPr>
      <w:tabs>
        <w:tab w:val="right" w:leader="dot" w:pos="9072"/>
      </w:tabs>
      <w:ind w:left="567"/>
    </w:pPr>
    <w:rPr>
      <w:szCs w:val="22"/>
    </w:rPr>
  </w:style>
  <w:style w:type="paragraph" w:customStyle="1" w:styleId="TOCBase">
    <w:name w:val="TOC Base"/>
    <w:rsid w:val="00FA3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021"/>
    <w:pPr>
      <w:tabs>
        <w:tab w:val="right" w:leader="dot" w:pos="9072"/>
      </w:tabs>
      <w:spacing w:before="40" w:after="40"/>
      <w:ind w:left="284"/>
    </w:pPr>
    <w:rPr>
      <w:rFonts w:ascii="Times New Roman" w:hAnsi="Times New Roman"/>
    </w:rPr>
  </w:style>
  <w:style w:type="paragraph" w:styleId="TOC1">
    <w:name w:val="toc 1"/>
    <w:basedOn w:val="TOCBase"/>
    <w:next w:val="Normal"/>
    <w:rsid w:val="00FA3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021"/>
    <w:rPr>
      <w:rFonts w:ascii="Times New Roman" w:eastAsia="Times New Roman" w:hAnsi="Times New Roman" w:cs="Times New Roman"/>
      <w:sz w:val="16"/>
      <w:lang w:eastAsia="en-US"/>
    </w:rPr>
  </w:style>
  <w:style w:type="paragraph" w:styleId="Title">
    <w:name w:val="Title"/>
    <w:basedOn w:val="HeadingBase"/>
    <w:link w:val="TitleChar"/>
    <w:qFormat/>
    <w:rsid w:val="00FA3021"/>
    <w:pPr>
      <w:spacing w:before="5040"/>
      <w:jc w:val="center"/>
    </w:pPr>
    <w:rPr>
      <w:sz w:val="48"/>
      <w:szCs w:val="72"/>
      <w:lang w:val="en-US"/>
    </w:rPr>
  </w:style>
  <w:style w:type="character" w:customStyle="1" w:styleId="TitleChar">
    <w:name w:val="Title Char"/>
    <w:basedOn w:val="DefaultParagraphFont"/>
    <w:link w:val="Title"/>
    <w:rsid w:val="00FA3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021"/>
    <w:pPr>
      <w:tabs>
        <w:tab w:val="left" w:pos="3600"/>
        <w:tab w:val="left" w:pos="3958"/>
      </w:tabs>
    </w:pPr>
  </w:style>
  <w:style w:type="paragraph" w:styleId="List">
    <w:name w:val="List"/>
    <w:basedOn w:val="BodyText"/>
    <w:next w:val="BodyText"/>
    <w:rsid w:val="00FA3021"/>
    <w:pPr>
      <w:tabs>
        <w:tab w:val="left" w:pos="340"/>
      </w:tabs>
      <w:spacing w:before="60" w:after="60"/>
      <w:ind w:left="340" w:hanging="340"/>
    </w:pPr>
  </w:style>
  <w:style w:type="paragraph" w:customStyle="1" w:styleId="Note">
    <w:name w:val="Note"/>
    <w:basedOn w:val="BodyText"/>
    <w:rsid w:val="00FA3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021"/>
    <w:pPr>
      <w:framePr w:wrap="auto" w:hAnchor="text" w:y="6049"/>
    </w:pPr>
    <w:rPr>
      <w:color w:val="000000"/>
      <w:sz w:val="40"/>
    </w:rPr>
  </w:style>
  <w:style w:type="paragraph" w:customStyle="1" w:styleId="TOCTitle">
    <w:name w:val="TOCTitle"/>
    <w:basedOn w:val="Heading1"/>
    <w:rsid w:val="00FA3021"/>
    <w:pPr>
      <w:spacing w:after="240"/>
      <w:jc w:val="center"/>
      <w:outlineLvl w:val="9"/>
    </w:pPr>
    <w:rPr>
      <w:caps/>
    </w:rPr>
  </w:style>
  <w:style w:type="paragraph" w:customStyle="1" w:styleId="Version">
    <w:name w:val="Version"/>
    <w:rsid w:val="00FA30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021"/>
    <w:pPr>
      <w:numPr>
        <w:numId w:val="12"/>
      </w:numPr>
      <w:tabs>
        <w:tab w:val="clear" w:pos="680"/>
      </w:tabs>
    </w:pPr>
  </w:style>
  <w:style w:type="paragraph" w:styleId="Index1">
    <w:name w:val="index 1"/>
    <w:basedOn w:val="Normal"/>
    <w:next w:val="Normal"/>
    <w:semiHidden/>
    <w:rsid w:val="00FA3021"/>
    <w:pPr>
      <w:keepNext w:val="0"/>
      <w:tabs>
        <w:tab w:val="right" w:pos="4176"/>
      </w:tabs>
      <w:ind w:left="198" w:hanging="198"/>
    </w:pPr>
    <w:rPr>
      <w:rFonts w:ascii="Garamond" w:hAnsi="Garamond"/>
    </w:rPr>
  </w:style>
  <w:style w:type="paragraph" w:styleId="IndexHeading">
    <w:name w:val="index heading"/>
    <w:basedOn w:val="Normal"/>
    <w:next w:val="Index1"/>
    <w:semiHidden/>
    <w:rsid w:val="00FA3021"/>
    <w:pPr>
      <w:spacing w:before="120" w:after="120"/>
    </w:pPr>
    <w:rPr>
      <w:rFonts w:ascii="Arial" w:hAnsi="Arial"/>
      <w:b/>
      <w:color w:val="918585"/>
      <w:sz w:val="24"/>
    </w:rPr>
  </w:style>
  <w:style w:type="paragraph" w:styleId="Header">
    <w:name w:val="header"/>
    <w:basedOn w:val="Normal"/>
    <w:link w:val="HeaderChar"/>
    <w:rsid w:val="00FA3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021"/>
    <w:rPr>
      <w:rFonts w:ascii="Times New Roman" w:eastAsia="Times New Roman" w:hAnsi="Times New Roman" w:cs="Times New Roman"/>
      <w:sz w:val="16"/>
      <w:szCs w:val="20"/>
      <w:lang w:val="en-GB" w:eastAsia="en-US"/>
    </w:rPr>
  </w:style>
  <w:style w:type="paragraph" w:customStyle="1" w:styleId="Chapter">
    <w:name w:val="Chapter"/>
    <w:basedOn w:val="Normal"/>
    <w:rsid w:val="00FA3021"/>
    <w:pPr>
      <w:spacing w:before="240"/>
    </w:pPr>
    <w:rPr>
      <w:rFonts w:ascii="Times New Roman" w:hAnsi="Times New Roman"/>
      <w:smallCaps/>
      <w:spacing w:val="80"/>
      <w:sz w:val="28"/>
    </w:rPr>
  </w:style>
  <w:style w:type="paragraph" w:customStyle="1" w:styleId="InChapter">
    <w:name w:val="InChapter"/>
    <w:basedOn w:val="Heading3"/>
    <w:rsid w:val="00FA3021"/>
    <w:pPr>
      <w:spacing w:after="240"/>
      <w:outlineLvl w:val="9"/>
    </w:pPr>
    <w:rPr>
      <w:noProof/>
    </w:rPr>
  </w:style>
  <w:style w:type="paragraph" w:styleId="Index2">
    <w:name w:val="index 2"/>
    <w:basedOn w:val="Normal"/>
    <w:next w:val="Normal"/>
    <w:semiHidden/>
    <w:rsid w:val="00FA3021"/>
    <w:pPr>
      <w:tabs>
        <w:tab w:val="right" w:pos="4176"/>
      </w:tabs>
      <w:ind w:left="568" w:hanging="284"/>
    </w:pPr>
    <w:rPr>
      <w:rFonts w:ascii="Garamond" w:hAnsi="Garamond"/>
    </w:rPr>
  </w:style>
  <w:style w:type="paragraph" w:customStyle="1" w:styleId="Byline">
    <w:name w:val="Byline"/>
    <w:rsid w:val="00FA3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021"/>
    <w:pPr>
      <w:tabs>
        <w:tab w:val="clear" w:pos="3600"/>
        <w:tab w:val="clear" w:pos="3958"/>
      </w:tabs>
      <w:jc w:val="right"/>
    </w:pPr>
  </w:style>
  <w:style w:type="character" w:styleId="Emphasis">
    <w:name w:val="Emphasis"/>
    <w:basedOn w:val="DefaultParagraphFont"/>
    <w:qFormat/>
    <w:rsid w:val="00FA3021"/>
    <w:rPr>
      <w:i/>
    </w:rPr>
  </w:style>
  <w:style w:type="paragraph" w:styleId="Caption">
    <w:name w:val="caption"/>
    <w:basedOn w:val="BodyText"/>
    <w:next w:val="Normal"/>
    <w:qFormat/>
    <w:rsid w:val="00FA3021"/>
    <w:pPr>
      <w:framePr w:w="2268" w:hSpace="181" w:vSpace="181" w:wrap="around" w:vAnchor="text" w:hAnchor="page" w:x="1135" w:y="285" w:anchorLock="1"/>
    </w:pPr>
    <w:rPr>
      <w:i/>
    </w:rPr>
  </w:style>
  <w:style w:type="paragraph" w:customStyle="1" w:styleId="MiniTOCTitle">
    <w:name w:val="MiniTOCTitle"/>
    <w:basedOn w:val="Heading4"/>
    <w:rsid w:val="00FA3021"/>
    <w:pPr>
      <w:spacing w:before="240"/>
      <w:outlineLvl w:val="9"/>
    </w:pPr>
    <w:rPr>
      <w:noProof/>
      <w:sz w:val="24"/>
    </w:rPr>
  </w:style>
  <w:style w:type="paragraph" w:customStyle="1" w:styleId="MiniTOCItem">
    <w:name w:val="MiniTOCItem"/>
    <w:basedOn w:val="ListBullet"/>
    <w:rsid w:val="00FA3021"/>
    <w:pPr>
      <w:numPr>
        <w:numId w:val="0"/>
      </w:numPr>
      <w:tabs>
        <w:tab w:val="right" w:leader="dot" w:pos="6521"/>
      </w:tabs>
      <w:spacing w:before="0" w:after="0"/>
    </w:pPr>
  </w:style>
  <w:style w:type="paragraph" w:customStyle="1" w:styleId="TOFTitle">
    <w:name w:val="TOFTitle"/>
    <w:basedOn w:val="TOCTitle"/>
    <w:rsid w:val="00FA3021"/>
  </w:style>
  <w:style w:type="paragraph" w:styleId="TableofFigures">
    <w:name w:val="table of figures"/>
    <w:basedOn w:val="Normal"/>
    <w:next w:val="Normal"/>
    <w:semiHidden/>
    <w:rsid w:val="00FA3021"/>
    <w:pPr>
      <w:tabs>
        <w:tab w:val="right" w:leader="dot" w:pos="9072"/>
      </w:tabs>
      <w:ind w:left="970" w:hanging="403"/>
    </w:pPr>
    <w:rPr>
      <w:rFonts w:ascii="Times New Roman" w:hAnsi="Times New Roman"/>
      <w:b/>
    </w:rPr>
  </w:style>
  <w:style w:type="paragraph" w:styleId="ListNumber">
    <w:name w:val="List Number"/>
    <w:basedOn w:val="List"/>
    <w:rsid w:val="00FA3021"/>
    <w:pPr>
      <w:numPr>
        <w:numId w:val="14"/>
      </w:numPr>
      <w:tabs>
        <w:tab w:val="clear" w:pos="340"/>
      </w:tabs>
    </w:pPr>
  </w:style>
  <w:style w:type="character" w:customStyle="1" w:styleId="WingdingSymbols">
    <w:name w:val="Wingding Symbols"/>
    <w:rsid w:val="00FA3021"/>
    <w:rPr>
      <w:rFonts w:ascii="Wingdings" w:hAnsi="Wingdings"/>
    </w:rPr>
  </w:style>
  <w:style w:type="paragraph" w:customStyle="1" w:styleId="TableHeading">
    <w:name w:val="Table Heading"/>
    <w:basedOn w:val="HeadingBase"/>
    <w:rsid w:val="00FA3021"/>
    <w:pPr>
      <w:keepLines/>
      <w:pBdr>
        <w:bottom w:val="single" w:sz="6" w:space="1" w:color="918585"/>
      </w:pBdr>
      <w:spacing w:before="240"/>
    </w:pPr>
  </w:style>
  <w:style w:type="character" w:customStyle="1" w:styleId="HotSpot">
    <w:name w:val="HotSpot"/>
    <w:rsid w:val="00FA3021"/>
    <w:rPr>
      <w:color w:val="0033CC"/>
      <w:u w:val="none"/>
    </w:rPr>
  </w:style>
  <w:style w:type="paragraph" w:customStyle="1" w:styleId="BodyTextRight">
    <w:name w:val="Body Text Right"/>
    <w:basedOn w:val="BodyText"/>
    <w:rsid w:val="00FA3021"/>
    <w:pPr>
      <w:spacing w:before="0" w:after="0"/>
      <w:jc w:val="right"/>
    </w:pPr>
  </w:style>
  <w:style w:type="paragraph" w:styleId="Index3">
    <w:name w:val="index 3"/>
    <w:basedOn w:val="ListNumber2"/>
    <w:next w:val="Normal"/>
    <w:semiHidden/>
    <w:rsid w:val="00FA3021"/>
    <w:pPr>
      <w:numPr>
        <w:numId w:val="0"/>
      </w:numPr>
      <w:tabs>
        <w:tab w:val="right" w:leader="dot" w:pos="4176"/>
      </w:tabs>
    </w:pPr>
  </w:style>
  <w:style w:type="paragraph" w:styleId="ListNumber2">
    <w:name w:val="List Number 2"/>
    <w:basedOn w:val="List2"/>
    <w:rsid w:val="00FA3021"/>
    <w:pPr>
      <w:numPr>
        <w:numId w:val="9"/>
      </w:numPr>
      <w:tabs>
        <w:tab w:val="clear" w:pos="1060"/>
      </w:tabs>
    </w:pPr>
  </w:style>
  <w:style w:type="paragraph" w:customStyle="1" w:styleId="MarginNote">
    <w:name w:val="Margin Note"/>
    <w:basedOn w:val="BodyText"/>
    <w:rsid w:val="00FA3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021"/>
    <w:rPr>
      <w:sz w:val="32"/>
    </w:rPr>
  </w:style>
  <w:style w:type="paragraph" w:customStyle="1" w:styleId="HeadingProcedure">
    <w:name w:val="Heading Procedure"/>
    <w:basedOn w:val="HeadingBase"/>
    <w:next w:val="Normal"/>
    <w:rsid w:val="00FA3021"/>
    <w:pPr>
      <w:tabs>
        <w:tab w:val="left" w:pos="0"/>
      </w:tabs>
      <w:spacing w:before="120" w:after="60"/>
    </w:pPr>
    <w:rPr>
      <w:i/>
      <w:color w:val="918585"/>
      <w:sz w:val="22"/>
    </w:rPr>
  </w:style>
  <w:style w:type="paragraph" w:customStyle="1" w:styleId="TableBodyText">
    <w:name w:val="Table Body Text"/>
    <w:basedOn w:val="BodyText"/>
    <w:rsid w:val="00FA3021"/>
    <w:pPr>
      <w:spacing w:before="60" w:after="60"/>
    </w:pPr>
  </w:style>
  <w:style w:type="paragraph" w:styleId="ListContinue">
    <w:name w:val="List Continue"/>
    <w:basedOn w:val="List"/>
    <w:rsid w:val="00FA3021"/>
    <w:pPr>
      <w:ind w:firstLine="0"/>
    </w:pPr>
  </w:style>
  <w:style w:type="paragraph" w:customStyle="1" w:styleId="ListNote">
    <w:name w:val="List Note"/>
    <w:basedOn w:val="List"/>
    <w:rsid w:val="00FA3021"/>
    <w:pPr>
      <w:pBdr>
        <w:top w:val="single" w:sz="6" w:space="2" w:color="918585"/>
        <w:bottom w:val="single" w:sz="6" w:space="2" w:color="918585"/>
      </w:pBdr>
      <w:tabs>
        <w:tab w:val="left" w:pos="1021"/>
      </w:tabs>
      <w:ind w:firstLine="0"/>
    </w:pPr>
  </w:style>
  <w:style w:type="paragraph" w:customStyle="1" w:styleId="Warning">
    <w:name w:val="Warning"/>
    <w:basedOn w:val="BodyText"/>
    <w:rsid w:val="00FA3021"/>
    <w:pPr>
      <w:shd w:val="clear" w:color="auto" w:fill="D9D9D9"/>
      <w:tabs>
        <w:tab w:val="left" w:pos="992"/>
      </w:tabs>
      <w:ind w:left="119" w:right="119"/>
    </w:pPr>
    <w:rPr>
      <w:sz w:val="20"/>
    </w:rPr>
  </w:style>
  <w:style w:type="paragraph" w:customStyle="1" w:styleId="MarginIcons">
    <w:name w:val="Margin Icons"/>
    <w:basedOn w:val="BodyText"/>
    <w:rsid w:val="00FA3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021"/>
    <w:rPr>
      <w:rFonts w:ascii="Courier New" w:hAnsi="Courier New"/>
    </w:rPr>
  </w:style>
  <w:style w:type="paragraph" w:customStyle="1" w:styleId="NoteBullet">
    <w:name w:val="Note Bullet"/>
    <w:basedOn w:val="Note"/>
    <w:rsid w:val="00FA3021"/>
    <w:pPr>
      <w:tabs>
        <w:tab w:val="clear" w:pos="680"/>
      </w:tabs>
      <w:spacing w:before="60" w:after="60"/>
    </w:pPr>
  </w:style>
  <w:style w:type="paragraph" w:customStyle="1" w:styleId="SubHeading2">
    <w:name w:val="SubHeading2"/>
    <w:basedOn w:val="HeadingBase"/>
    <w:rsid w:val="00FA3021"/>
    <w:pPr>
      <w:spacing w:before="240" w:after="60"/>
    </w:pPr>
    <w:rPr>
      <w:sz w:val="20"/>
    </w:rPr>
  </w:style>
  <w:style w:type="paragraph" w:customStyle="1" w:styleId="SubHeading1">
    <w:name w:val="SubHeading1"/>
    <w:basedOn w:val="HeadingBase"/>
    <w:rsid w:val="00FA3021"/>
    <w:pPr>
      <w:spacing w:before="240" w:after="60"/>
    </w:pPr>
    <w:rPr>
      <w:color w:val="918585"/>
      <w:sz w:val="22"/>
    </w:rPr>
  </w:style>
  <w:style w:type="paragraph" w:customStyle="1" w:styleId="SideHeading">
    <w:name w:val="Side Heading"/>
    <w:basedOn w:val="HeadingBase"/>
    <w:rsid w:val="00FA3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021"/>
    <w:pPr>
      <w:numPr>
        <w:numId w:val="10"/>
      </w:numPr>
    </w:pPr>
  </w:style>
  <w:style w:type="paragraph" w:styleId="PlainText">
    <w:name w:val="Plain Text"/>
    <w:basedOn w:val="Normal"/>
    <w:link w:val="PlainTextChar"/>
    <w:rsid w:val="00FA3021"/>
    <w:rPr>
      <w:sz w:val="20"/>
    </w:rPr>
  </w:style>
  <w:style w:type="character" w:customStyle="1" w:styleId="PlainTextChar">
    <w:name w:val="Plain Text Char"/>
    <w:basedOn w:val="DefaultParagraphFont"/>
    <w:link w:val="PlainText"/>
    <w:rsid w:val="00FA3021"/>
    <w:rPr>
      <w:rFonts w:ascii="Courier New" w:eastAsia="Times New Roman" w:hAnsi="Courier New" w:cs="Times New Roman"/>
      <w:sz w:val="20"/>
      <w:szCs w:val="20"/>
      <w:lang w:eastAsia="en-US"/>
    </w:rPr>
  </w:style>
  <w:style w:type="character" w:customStyle="1" w:styleId="MenuOption">
    <w:name w:val="Menu Option"/>
    <w:basedOn w:val="DefaultParagraphFont"/>
    <w:rsid w:val="00FA3021"/>
    <w:rPr>
      <w:b/>
      <w:smallCaps/>
    </w:rPr>
  </w:style>
  <w:style w:type="paragraph" w:customStyle="1" w:styleId="TableListNumber">
    <w:name w:val="Table List Number"/>
    <w:basedOn w:val="ListNumber"/>
    <w:rsid w:val="00FA3021"/>
    <w:pPr>
      <w:numPr>
        <w:numId w:val="0"/>
      </w:numPr>
    </w:pPr>
  </w:style>
  <w:style w:type="paragraph" w:styleId="TOC4">
    <w:name w:val="toc 4"/>
    <w:basedOn w:val="TOCBase"/>
    <w:next w:val="Normal"/>
    <w:semiHidden/>
    <w:rsid w:val="00FA3021"/>
    <w:pPr>
      <w:tabs>
        <w:tab w:val="right" w:leader="dot" w:pos="9071"/>
      </w:tabs>
      <w:ind w:left="1701"/>
    </w:pPr>
  </w:style>
  <w:style w:type="paragraph" w:customStyle="1" w:styleId="ListAlpha">
    <w:name w:val="List Alpha"/>
    <w:basedOn w:val="List"/>
    <w:rsid w:val="00FA3021"/>
    <w:pPr>
      <w:numPr>
        <w:numId w:val="8"/>
      </w:numPr>
    </w:pPr>
  </w:style>
  <w:style w:type="paragraph" w:customStyle="1" w:styleId="ListAlpha2">
    <w:name w:val="List Alpha 2"/>
    <w:basedOn w:val="List2"/>
    <w:rsid w:val="00FA3021"/>
    <w:pPr>
      <w:numPr>
        <w:numId w:val="7"/>
      </w:numPr>
    </w:pPr>
  </w:style>
  <w:style w:type="paragraph" w:styleId="List2">
    <w:name w:val="List 2"/>
    <w:basedOn w:val="BodyText"/>
    <w:rsid w:val="00FA3021"/>
    <w:pPr>
      <w:tabs>
        <w:tab w:val="left" w:pos="680"/>
      </w:tabs>
      <w:spacing w:before="60" w:after="60"/>
      <w:ind w:left="680" w:hanging="340"/>
    </w:pPr>
  </w:style>
  <w:style w:type="paragraph" w:styleId="List3">
    <w:name w:val="List 3"/>
    <w:basedOn w:val="BodyText"/>
    <w:rsid w:val="00FA3021"/>
    <w:pPr>
      <w:tabs>
        <w:tab w:val="left" w:pos="1021"/>
      </w:tabs>
      <w:spacing w:before="60" w:after="60"/>
      <w:ind w:left="1020" w:hanging="340"/>
    </w:pPr>
  </w:style>
  <w:style w:type="paragraph" w:styleId="List4">
    <w:name w:val="List 4"/>
    <w:basedOn w:val="BodyText"/>
    <w:rsid w:val="00FA3021"/>
    <w:pPr>
      <w:tabs>
        <w:tab w:val="left" w:pos="1361"/>
      </w:tabs>
      <w:spacing w:before="60" w:after="60"/>
      <w:ind w:left="1361" w:hanging="340"/>
    </w:pPr>
  </w:style>
  <w:style w:type="paragraph" w:styleId="List5">
    <w:name w:val="List 5"/>
    <w:basedOn w:val="BodyText"/>
    <w:rsid w:val="00FA3021"/>
    <w:pPr>
      <w:tabs>
        <w:tab w:val="left" w:pos="1701"/>
      </w:tabs>
      <w:spacing w:before="60" w:after="60"/>
      <w:ind w:left="1701" w:hanging="340"/>
    </w:pPr>
  </w:style>
  <w:style w:type="paragraph" w:styleId="ListBullet3">
    <w:name w:val="List Bullet 3"/>
    <w:basedOn w:val="List3"/>
    <w:rsid w:val="00FA3021"/>
    <w:pPr>
      <w:numPr>
        <w:numId w:val="13"/>
      </w:numPr>
      <w:tabs>
        <w:tab w:val="clear" w:pos="1021"/>
      </w:tabs>
      <w:ind w:left="1037" w:hanging="357"/>
    </w:pPr>
  </w:style>
  <w:style w:type="paragraph" w:styleId="ListBullet4">
    <w:name w:val="List Bullet 4"/>
    <w:basedOn w:val="List4"/>
    <w:rsid w:val="00FA3021"/>
    <w:pPr>
      <w:numPr>
        <w:numId w:val="2"/>
      </w:numPr>
      <w:tabs>
        <w:tab w:val="clear" w:pos="1361"/>
      </w:tabs>
    </w:pPr>
  </w:style>
  <w:style w:type="paragraph" w:styleId="ListBullet5">
    <w:name w:val="List Bullet 5"/>
    <w:basedOn w:val="List5"/>
    <w:rsid w:val="00FA3021"/>
    <w:pPr>
      <w:numPr>
        <w:numId w:val="3"/>
      </w:numPr>
    </w:pPr>
  </w:style>
  <w:style w:type="paragraph" w:styleId="ListContinue2">
    <w:name w:val="List Continue 2"/>
    <w:basedOn w:val="List2"/>
    <w:rsid w:val="00FA3021"/>
    <w:pPr>
      <w:ind w:firstLine="0"/>
    </w:pPr>
  </w:style>
  <w:style w:type="paragraph" w:styleId="ListContinue3">
    <w:name w:val="List Continue 3"/>
    <w:basedOn w:val="List3"/>
    <w:rsid w:val="00FA3021"/>
    <w:pPr>
      <w:ind w:left="1021" w:firstLine="0"/>
    </w:pPr>
  </w:style>
  <w:style w:type="paragraph" w:styleId="ListContinue4">
    <w:name w:val="List Continue 4"/>
    <w:basedOn w:val="List4"/>
    <w:rsid w:val="00FA3021"/>
    <w:pPr>
      <w:ind w:firstLine="0"/>
    </w:pPr>
  </w:style>
  <w:style w:type="paragraph" w:styleId="ListContinue5">
    <w:name w:val="List Continue 5"/>
    <w:basedOn w:val="List5"/>
    <w:rsid w:val="00FA3021"/>
    <w:pPr>
      <w:ind w:firstLine="0"/>
    </w:pPr>
  </w:style>
  <w:style w:type="paragraph" w:styleId="ListNumber3">
    <w:name w:val="List Number 3"/>
    <w:basedOn w:val="List3"/>
    <w:rsid w:val="00FA3021"/>
    <w:pPr>
      <w:numPr>
        <w:numId w:val="4"/>
      </w:numPr>
    </w:pPr>
  </w:style>
  <w:style w:type="paragraph" w:styleId="ListNumber4">
    <w:name w:val="List Number 4"/>
    <w:basedOn w:val="List4"/>
    <w:rsid w:val="00FA3021"/>
    <w:pPr>
      <w:numPr>
        <w:numId w:val="5"/>
      </w:numPr>
    </w:pPr>
  </w:style>
  <w:style w:type="paragraph" w:styleId="ListNumber5">
    <w:name w:val="List Number 5"/>
    <w:basedOn w:val="List5"/>
    <w:rsid w:val="00FA3021"/>
    <w:pPr>
      <w:numPr>
        <w:numId w:val="6"/>
      </w:numPr>
    </w:pPr>
  </w:style>
  <w:style w:type="paragraph" w:styleId="BlockText">
    <w:name w:val="Block Text"/>
    <w:basedOn w:val="Normal"/>
    <w:rsid w:val="00FA3021"/>
    <w:pPr>
      <w:spacing w:after="120"/>
      <w:ind w:left="1440" w:right="1440"/>
    </w:pPr>
  </w:style>
  <w:style w:type="character" w:customStyle="1" w:styleId="Subscript">
    <w:name w:val="Subscript"/>
    <w:basedOn w:val="DefaultParagraphFont"/>
    <w:rsid w:val="00FA3021"/>
    <w:rPr>
      <w:sz w:val="16"/>
      <w:vertAlign w:val="subscript"/>
    </w:rPr>
  </w:style>
  <w:style w:type="character" w:customStyle="1" w:styleId="Superscript">
    <w:name w:val="Superscript"/>
    <w:basedOn w:val="DefaultParagraphFont"/>
    <w:rsid w:val="00FA3021"/>
    <w:rPr>
      <w:sz w:val="16"/>
      <w:vertAlign w:val="superscript"/>
    </w:rPr>
  </w:style>
  <w:style w:type="character" w:customStyle="1" w:styleId="Symbols">
    <w:name w:val="Symbols"/>
    <w:basedOn w:val="DefaultParagraphFont"/>
    <w:rsid w:val="00FA3021"/>
    <w:rPr>
      <w:rFonts w:ascii="Symbol" w:hAnsi="Symbol"/>
    </w:rPr>
  </w:style>
  <w:style w:type="character" w:customStyle="1" w:styleId="MenuOptions">
    <w:name w:val="Menu Options"/>
    <w:basedOn w:val="DefaultParagraphFont"/>
    <w:rsid w:val="00FA3021"/>
    <w:rPr>
      <w:rFonts w:ascii="Arial Narrow" w:hAnsi="Arial Narrow"/>
      <w:smallCaps/>
    </w:rPr>
  </w:style>
  <w:style w:type="character" w:customStyle="1" w:styleId="Buttons">
    <w:name w:val="Buttons"/>
    <w:basedOn w:val="DefaultParagraphFont"/>
    <w:rsid w:val="00FA3021"/>
    <w:rPr>
      <w:b/>
    </w:rPr>
  </w:style>
  <w:style w:type="character" w:customStyle="1" w:styleId="Underlined">
    <w:name w:val="Underlined"/>
    <w:basedOn w:val="DefaultParagraphFont"/>
    <w:rsid w:val="00FA3021"/>
    <w:rPr>
      <w:u w:val="single"/>
    </w:rPr>
  </w:style>
  <w:style w:type="paragraph" w:customStyle="1" w:styleId="TableBodyTextRight">
    <w:name w:val="Table Body Text Right"/>
    <w:basedOn w:val="TableBodyText"/>
    <w:rsid w:val="00FA3021"/>
    <w:pPr>
      <w:widowControl w:val="0"/>
      <w:autoSpaceDE w:val="0"/>
      <w:autoSpaceDN w:val="0"/>
      <w:adjustRightInd w:val="0"/>
      <w:jc w:val="right"/>
    </w:pPr>
    <w:rPr>
      <w:rFonts w:cs="Arial"/>
      <w:szCs w:val="18"/>
    </w:rPr>
  </w:style>
  <w:style w:type="paragraph" w:customStyle="1" w:styleId="CopyrightText">
    <w:name w:val="Copyright Text"/>
    <w:basedOn w:val="BodyText"/>
    <w:rsid w:val="00FA3021"/>
    <w:rPr>
      <w:sz w:val="18"/>
    </w:rPr>
  </w:style>
  <w:style w:type="paragraph" w:customStyle="1" w:styleId="BodySmallRight">
    <w:name w:val="Body Small Right"/>
    <w:basedOn w:val="BodyTextRight"/>
    <w:rsid w:val="00FA3021"/>
    <w:rPr>
      <w:sz w:val="18"/>
      <w:szCs w:val="18"/>
    </w:rPr>
  </w:style>
  <w:style w:type="paragraph" w:customStyle="1" w:styleId="MarginEdition">
    <w:name w:val="Margin Edition"/>
    <w:basedOn w:val="MarginNote"/>
    <w:rsid w:val="00FA3021"/>
    <w:pPr>
      <w:spacing w:before="0" w:after="0"/>
    </w:pPr>
    <w:rPr>
      <w:rFonts w:ascii="Times New Roman" w:hAnsi="Times New Roman"/>
      <w:color w:val="999999"/>
    </w:rPr>
  </w:style>
  <w:style w:type="paragraph" w:customStyle="1" w:styleId="Spacer">
    <w:name w:val="Spacer"/>
    <w:basedOn w:val="Normal"/>
    <w:rsid w:val="00FA3021"/>
    <w:rPr>
      <w:sz w:val="2"/>
      <w:szCs w:val="2"/>
    </w:rPr>
  </w:style>
  <w:style w:type="character" w:customStyle="1" w:styleId="Small">
    <w:name w:val="Small"/>
    <w:basedOn w:val="DefaultParagraphFont"/>
    <w:rsid w:val="00FA3021"/>
    <w:rPr>
      <w:sz w:val="16"/>
    </w:rPr>
  </w:style>
  <w:style w:type="paragraph" w:customStyle="1" w:styleId="WideTable">
    <w:name w:val="Wide Table"/>
    <w:basedOn w:val="Normal"/>
    <w:rsid w:val="00FA3021"/>
    <w:pPr>
      <w:ind w:left="-1418"/>
    </w:pPr>
    <w:rPr>
      <w:sz w:val="2"/>
      <w:szCs w:val="2"/>
    </w:rPr>
  </w:style>
  <w:style w:type="character" w:styleId="PageNumber">
    <w:name w:val="page number"/>
    <w:basedOn w:val="DefaultParagraphFont"/>
    <w:rsid w:val="00FA3021"/>
  </w:style>
  <w:style w:type="paragraph" w:styleId="Quote">
    <w:name w:val="Quote"/>
    <w:basedOn w:val="Heading1"/>
    <w:link w:val="QuoteChar"/>
    <w:qFormat/>
    <w:rsid w:val="00FA3021"/>
    <w:rPr>
      <w:b w:val="0"/>
      <w:sz w:val="72"/>
      <w:szCs w:val="72"/>
      <w:lang w:val="en-NZ"/>
    </w:rPr>
  </w:style>
  <w:style w:type="character" w:customStyle="1" w:styleId="QuoteChar">
    <w:name w:val="Quote Char"/>
    <w:basedOn w:val="DefaultParagraphFont"/>
    <w:link w:val="Quote"/>
    <w:rsid w:val="00FA3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021"/>
    <w:pPr>
      <w:pageBreakBefore/>
    </w:pPr>
  </w:style>
  <w:style w:type="paragraph" w:customStyle="1" w:styleId="Border">
    <w:name w:val="Border"/>
    <w:basedOn w:val="Normal"/>
    <w:qFormat/>
    <w:rsid w:val="00FA3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021"/>
    <w:rPr>
      <w:b/>
      <w:bCs/>
      <w:i/>
      <w:iCs/>
      <w:color w:val="auto"/>
    </w:rPr>
  </w:style>
  <w:style w:type="paragraph" w:styleId="IntenseQuote">
    <w:name w:val="Intense Quote"/>
    <w:basedOn w:val="Normal"/>
    <w:next w:val="Normal"/>
    <w:link w:val="IntenseQuoteChar"/>
    <w:uiPriority w:val="30"/>
    <w:qFormat/>
    <w:rsid w:val="00FA3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021"/>
    <w:rPr>
      <w:smallCaps/>
      <w:color w:val="auto"/>
      <w:u w:val="single"/>
    </w:rPr>
  </w:style>
  <w:style w:type="character" w:styleId="IntenseReference">
    <w:name w:val="Intense Reference"/>
    <w:basedOn w:val="DefaultParagraphFont"/>
    <w:uiPriority w:val="32"/>
    <w:qFormat/>
    <w:rsid w:val="00FA3021"/>
    <w:rPr>
      <w:b/>
      <w:bCs/>
      <w:smallCaps/>
      <w:color w:val="auto"/>
      <w:spacing w:val="5"/>
      <w:u w:val="single"/>
    </w:rPr>
  </w:style>
  <w:style w:type="paragraph" w:customStyle="1" w:styleId="2ColumnHeading">
    <w:name w:val="2Column Heading"/>
    <w:basedOn w:val="BodyText"/>
    <w:qFormat/>
    <w:rsid w:val="00FA3021"/>
    <w:pPr>
      <w:spacing w:after="60"/>
      <w:ind w:left="-2268"/>
    </w:pPr>
    <w:rPr>
      <w:b/>
    </w:rPr>
  </w:style>
  <w:style w:type="paragraph" w:customStyle="1" w:styleId="Heading1TOC">
    <w:name w:val="Heading1 TOC"/>
    <w:basedOn w:val="Normal"/>
    <w:qFormat/>
    <w:rsid w:val="00FA3021"/>
    <w:pPr>
      <w:spacing w:before="240" w:after="120"/>
    </w:pPr>
    <w:rPr>
      <w:rFonts w:ascii="Times New Roman" w:hAnsi="Times New Roman"/>
      <w:b/>
      <w:sz w:val="32"/>
    </w:rPr>
  </w:style>
  <w:style w:type="paragraph" w:customStyle="1" w:styleId="Heading2TOC">
    <w:name w:val="Heading2 TOC"/>
    <w:basedOn w:val="Normal"/>
    <w:qFormat/>
    <w:rsid w:val="00FA3021"/>
    <w:pPr>
      <w:spacing w:before="240" w:after="60"/>
    </w:pPr>
    <w:rPr>
      <w:rFonts w:ascii="Times New Roman" w:hAnsi="Times New Roman"/>
      <w:b/>
      <w:sz w:val="28"/>
    </w:rPr>
  </w:style>
  <w:style w:type="character" w:customStyle="1" w:styleId="Underline">
    <w:name w:val="Underline"/>
    <w:basedOn w:val="DefaultParagraphFont"/>
    <w:qFormat/>
    <w:rsid w:val="00FA3021"/>
    <w:rPr>
      <w:u w:val="single"/>
    </w:rPr>
  </w:style>
  <w:style w:type="character" w:customStyle="1" w:styleId="BoldandItalics">
    <w:name w:val="Bold and Italics"/>
    <w:qFormat/>
    <w:rsid w:val="00FA3021"/>
    <w:rPr>
      <w:b/>
      <w:i/>
      <w:u w:val="none"/>
    </w:rPr>
  </w:style>
  <w:style w:type="paragraph" w:styleId="BalloonText">
    <w:name w:val="Balloon Text"/>
    <w:basedOn w:val="Normal"/>
    <w:link w:val="BalloonTextChar"/>
    <w:rsid w:val="00FA3021"/>
    <w:rPr>
      <w:rFonts w:ascii="Tahoma" w:hAnsi="Tahoma" w:cs="Tahoma"/>
      <w:sz w:val="16"/>
      <w:szCs w:val="16"/>
    </w:rPr>
  </w:style>
  <w:style w:type="character" w:customStyle="1" w:styleId="BalloonTextChar">
    <w:name w:val="Balloon Text Char"/>
    <w:basedOn w:val="DefaultParagraphFont"/>
    <w:link w:val="BalloonText"/>
    <w:rsid w:val="00FA3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0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021"/>
    <w:rPr>
      <w:b/>
      <w:color w:val="660033"/>
      <w:spacing w:val="0"/>
    </w:rPr>
  </w:style>
  <w:style w:type="paragraph" w:customStyle="1" w:styleId="Nameditemlist">
    <w:name w:val="Named item list"/>
    <w:basedOn w:val="BodyText"/>
    <w:qFormat/>
    <w:rsid w:val="00FA3021"/>
    <w:pPr>
      <w:tabs>
        <w:tab w:val="left" w:pos="2835"/>
      </w:tabs>
      <w:ind w:left="2835" w:hanging="2835"/>
    </w:pPr>
  </w:style>
  <w:style w:type="paragraph" w:customStyle="1" w:styleId="BodyTextnopadding">
    <w:name w:val="Body Text no padding"/>
    <w:basedOn w:val="BodyText"/>
    <w:qFormat/>
    <w:rsid w:val="00FA3021"/>
    <w:pPr>
      <w:spacing w:before="0" w:after="0"/>
    </w:pPr>
  </w:style>
  <w:style w:type="paragraph" w:customStyle="1" w:styleId="BodyTextBold">
    <w:name w:val="Body Text Bold"/>
    <w:basedOn w:val="BodyText"/>
    <w:qFormat/>
    <w:rsid w:val="00FA3021"/>
    <w:rPr>
      <w:b/>
    </w:rPr>
  </w:style>
  <w:style w:type="character" w:styleId="Hyperlink">
    <w:name w:val="Hyperlink"/>
    <w:basedOn w:val="DefaultParagraphFont"/>
    <w:uiPriority w:val="99"/>
    <w:unhideWhenUsed/>
    <w:rsid w:val="00EE3F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1233</Words>
  <Characters>6935</Characters>
  <Application>Microsoft Office Word</Application>
  <DocSecurity>0</DocSecurity>
  <Lines>301</Lines>
  <Paragraphs>143</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TLILIC0010 Licence to operate a slewing mobile crane (up to 20 tonnes)</dc:title>
  <dc:subject>Approved</dc:subject>
  <dc:creator>Australian Industry Standards</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