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325" w:rsidP="00165325">
      <w:pPr>
        <w:pStyle w:val="Title"/>
      </w:pPr>
      <w:r>
        <w:fldChar w:fldCharType="begin"/>
      </w:r>
      <w:r>
        <w:instrText xml:space="preserve"> TITLE   \* MERGEFORMAT </w:instrText>
      </w:r>
      <w:r>
        <w:fldChar w:fldCharType="separate"/>
      </w:r>
      <w:r>
        <w:t>TLILIC0008 Licence to operate a non-slewing mobile crane (greater than 3 tonnes capacity)</w:t>
      </w:r>
      <w:r>
        <w:fldChar w:fldCharType="end"/>
      </w:r>
    </w:p>
    <w:p w:rsidR="00165325" w:rsidP="00165325">
      <w:pPr>
        <w:pStyle w:val="Version"/>
        <w:sectPr w:rsidSect="00C439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3948" w:rsidP="00C43948">
      <w:pPr>
        <w:pStyle w:val="SuperHeading"/>
      </w:pPr>
      <w:r w:rsidRPr="00C43948">
        <w:t>TLILIC0008 Licence to operate a non-slewing mobile crane (greater than 3 tonnes capacity)</w:t>
      </w:r>
    </w:p>
    <w:p w:rsidR="00000000" w:rsidRPr="00C43948" w:rsidP="00C43948">
      <w:pPr>
        <w:pStyle w:val="Heading1"/>
      </w:pPr>
      <w:bookmarkStart w:id="1" w:name="O_1063231"/>
      <w:bookmarkEnd w:id="1"/>
      <w:r w:rsidRPr="00C43948">
        <w:t>Modification History</w:t>
      </w:r>
    </w:p>
    <w:tbl>
      <w:tblPr>
        <w:tblW w:w="9497" w:type="dxa"/>
        <w:tblLayout w:type="fixed"/>
        <w:tblCellMar>
          <w:left w:w="62" w:type="dxa"/>
          <w:right w:w="62" w:type="dxa"/>
        </w:tblCellMar>
        <w:tblLook w:val="0000"/>
      </w:tblPr>
      <w:tblGrid>
        <w:gridCol w:w="9497"/>
      </w:tblGrid>
      <w:tr w:rsidTr="00C439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Release 2. This is the second release of this unit of competency in the TLI Transport and Logistics Training Package:</w:t>
            </w:r>
          </w:p>
          <w:p w:rsidR="00000000" w:rsidRPr="00C43948" w:rsidP="00C43948">
            <w:pPr>
              <w:pStyle w:val="ListBullet"/>
            </w:pPr>
            <w:r w:rsidRPr="00C43948">
              <w:t>Minor statement changes in unit Application</w:t>
            </w:r>
          </w:p>
          <w:p w:rsidR="00000000" w:rsidP="00C43948">
            <w:pPr>
              <w:pStyle w:val="ListBullet"/>
              <w:rPr>
                <w:lang w:val="en-NZ"/>
              </w:rPr>
            </w:pPr>
            <w:r w:rsidRPr="00C43948">
              <w:t>Minor statement changes in Assessment Conditions.</w:t>
            </w:r>
          </w:p>
        </w:tc>
      </w:tr>
      <w:tr w:rsidTr="00C439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Release 1. This is the first release of this unit of competency in the TLI Transport and Logistics Training Package.</w:t>
            </w:r>
          </w:p>
        </w:tc>
      </w:tr>
    </w:tbl>
    <w:p w:rsidR="00000000" w:rsidRPr="00C43948" w:rsidP="00C43948">
      <w:pPr>
        <w:pStyle w:val="NoPaddingFontSize1"/>
      </w:pPr>
    </w:p>
    <w:p w:rsidR="00000000" w:rsidRPr="00C43948" w:rsidP="00C43948">
      <w:pPr>
        <w:pStyle w:val="AllowPageBreak"/>
      </w:pPr>
    </w:p>
    <w:p w:rsidR="00000000" w:rsidRPr="00C43948" w:rsidP="00C43948">
      <w:pPr>
        <w:pStyle w:val="Heading1"/>
      </w:pPr>
      <w:bookmarkStart w:id="2" w:name="O_1063230"/>
      <w:bookmarkEnd w:id="2"/>
      <w:r w:rsidRPr="00C43948">
        <w:t>Application</w:t>
      </w:r>
    </w:p>
    <w:tbl>
      <w:tblPr>
        <w:tblW w:w="9497" w:type="dxa"/>
        <w:tblLayout w:type="fixed"/>
        <w:tblCellMar>
          <w:left w:w="62" w:type="dxa"/>
          <w:right w:w="62" w:type="dxa"/>
        </w:tblCellMar>
        <w:tblLook w:val="0000"/>
      </w:tblPr>
      <w:tblGrid>
        <w:gridCol w:w="9497"/>
      </w:tblGrid>
      <w:tr w:rsidTr="00C439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This unit s</w:t>
            </w:r>
            <w:r w:rsidRPr="00C43948">
              <w:t>pecifies the skills and knowledge required to operate a non-slewing mobile crane with a Maximum Rated Capacity (MRC) exceeding 3 tonnes safely, in accordance with all relevant legislative responsibilities. Competence in this unit, does not in itself result</w:t>
            </w:r>
            <w:r w:rsidRPr="00C43948">
              <w:t xml:space="preserve"> in a High Risk Work Licence (HRWL) to operate this plant.</w:t>
            </w:r>
          </w:p>
          <w:p w:rsidR="00000000" w:rsidRPr="00C43948" w:rsidP="00C43948">
            <w:pPr>
              <w:pStyle w:val="BodyText"/>
            </w:pPr>
            <w:r w:rsidRPr="00C43948">
              <w:t xml:space="preserve">A person undertaking this unit must hold: </w:t>
            </w:r>
          </w:p>
          <w:p w:rsidR="00000000" w:rsidRPr="00C43948" w:rsidP="00C43948">
            <w:pPr>
              <w:pStyle w:val="ListBullet"/>
            </w:pPr>
            <w:r w:rsidRPr="00C43948">
              <w:t>a current National HRWL to perform dogging or a current certification for a specific VET course for HRWL to perform dogging that has been issued by, or o</w:t>
            </w:r>
            <w:r w:rsidRPr="00C43948">
              <w:t>n behalf of a WHS Regulator</w:t>
            </w:r>
          </w:p>
          <w:p w:rsidR="00000000" w:rsidRPr="00C43948" w:rsidP="00C43948">
            <w:pPr>
              <w:pStyle w:val="BodyText"/>
            </w:pPr>
            <w:r w:rsidRPr="00C43948">
              <w:t>Non-slewing mobile crane means a mobile crane incorporating a boom or jib that cannot be slewed, and includes:</w:t>
            </w:r>
          </w:p>
          <w:p w:rsidR="00000000" w:rsidRPr="00C43948" w:rsidP="00C43948">
            <w:pPr>
              <w:pStyle w:val="ListBullet"/>
            </w:pPr>
            <w:r w:rsidRPr="00C43948">
              <w:t>an articulated mobile crane</w:t>
            </w:r>
          </w:p>
          <w:p w:rsidR="00000000" w:rsidRPr="00C43948" w:rsidP="00C43948">
            <w:pPr>
              <w:pStyle w:val="ListBullet"/>
            </w:pPr>
            <w:r w:rsidRPr="00C43948">
              <w:t>a locomotive crane</w:t>
            </w:r>
          </w:p>
          <w:p w:rsidR="00000000" w:rsidRPr="00C43948" w:rsidP="00C43948">
            <w:pPr>
              <w:pStyle w:val="ListBullet"/>
            </w:pPr>
            <w:r w:rsidRPr="00C43948">
              <w:t>but does not include vehicle tow trucks.</w:t>
            </w:r>
          </w:p>
          <w:p w:rsidR="00000000" w:rsidRPr="00C43948" w:rsidP="00C43948">
            <w:pPr>
              <w:pStyle w:val="BodyText"/>
            </w:pPr>
            <w:r w:rsidRPr="00C43948">
              <w:t>A person performing this work is required to hold a non-slewing mobile crane HRWL.</w:t>
            </w:r>
          </w:p>
          <w:p w:rsidR="00000000" w:rsidRPr="00C43948" w:rsidP="00C43948">
            <w:pPr>
              <w:pStyle w:val="BodyText"/>
            </w:pPr>
            <w:r w:rsidRPr="00C43948">
              <w:t>This unit requires a person operating non-slewing mobile crane with an MRC exceeding 3 tonnes to:</w:t>
            </w:r>
          </w:p>
          <w:p w:rsidR="00000000" w:rsidRPr="00C43948" w:rsidP="00C43948">
            <w:pPr>
              <w:pStyle w:val="ListBullet"/>
            </w:pPr>
            <w:r w:rsidRPr="00C43948">
              <w:t>plan the work/task</w:t>
            </w:r>
          </w:p>
          <w:p w:rsidR="00000000" w:rsidRPr="00C43948" w:rsidP="00C43948">
            <w:pPr>
              <w:pStyle w:val="ListBullet"/>
            </w:pPr>
            <w:r w:rsidRPr="00C43948">
              <w:t>prepare for the work/task</w:t>
            </w:r>
          </w:p>
          <w:p w:rsidR="00000000" w:rsidRPr="00C43948" w:rsidP="00C43948">
            <w:pPr>
              <w:pStyle w:val="ListBullet"/>
            </w:pPr>
            <w:r w:rsidRPr="00C43948">
              <w:t>perform work/task</w:t>
            </w:r>
          </w:p>
          <w:p w:rsidR="00000000" w:rsidRPr="00C43948" w:rsidP="00C43948">
            <w:pPr>
              <w:pStyle w:val="ListBullet"/>
            </w:pPr>
            <w:r w:rsidRPr="00C43948">
              <w:t>pack up</w:t>
            </w:r>
          </w:p>
          <w:p w:rsidR="00000000" w:rsidRPr="00C43948" w:rsidP="00C43948">
            <w:pPr>
              <w:pStyle w:val="BodyText"/>
            </w:pPr>
            <w:r w:rsidRPr="00C43948">
              <w:rPr>
                <w:rStyle w:val="SpecialBold"/>
              </w:rPr>
              <w:t>Lic</w:t>
            </w:r>
            <w:r w:rsidRPr="00C43948">
              <w:rPr>
                <w:rStyle w:val="SpecialBold"/>
              </w:rPr>
              <w:t>ensing/Regulatory Information</w:t>
            </w:r>
          </w:p>
          <w:p w:rsidR="00000000" w:rsidRPr="00C43948" w:rsidP="00C43948">
            <w:pPr>
              <w:pStyle w:val="BodyText"/>
            </w:pPr>
            <w:r w:rsidRPr="00C43948">
              <w:t>Legislative and regulatory requirements are applicable to this unit of competency. This unit is based on the licensing requirements of Part 4.5 of the Model Work Health and Safety (WHS) Regulations and meets Commonwealth, Stat</w:t>
            </w:r>
            <w:r w:rsidRPr="00C43948">
              <w:t xml:space="preserve">e and Territory HRWL requirements. </w:t>
            </w:r>
          </w:p>
          <w:p w:rsidR="00000000" w:rsidRPr="00C43948" w:rsidP="00C43948">
            <w:pPr>
              <w:pStyle w:val="BodyText"/>
            </w:pPr>
            <w:r w:rsidRPr="00C43948">
              <w:t xml:space="preserve">The National Assessment Instrument (NAI) is the mandated assessment for the HRWL to operate </w:t>
            </w:r>
            <w:r w:rsidRPr="00C43948">
              <w:t xml:space="preserve">the relevant licencing class as detailed in this unit.  </w:t>
            </w:r>
          </w:p>
        </w:tc>
      </w:tr>
    </w:tbl>
    <w:p w:rsidR="00000000" w:rsidRPr="00C43948" w:rsidP="00C43948">
      <w:pPr>
        <w:pStyle w:val="NoPaddingFontSize1"/>
      </w:pPr>
    </w:p>
    <w:p w:rsidR="00000000" w:rsidRPr="00C43948" w:rsidP="00C43948">
      <w:pPr>
        <w:pStyle w:val="AllowPageBreak"/>
      </w:pPr>
    </w:p>
    <w:p w:rsidR="00000000" w:rsidRPr="00C43948" w:rsidP="00C43948">
      <w:pPr>
        <w:pStyle w:val="Heading1"/>
      </w:pPr>
      <w:bookmarkStart w:id="3" w:name="O_1063229"/>
      <w:bookmarkEnd w:id="3"/>
      <w:r w:rsidRPr="00C43948">
        <w:t>Pre-requisite Unit</w:t>
      </w:r>
    </w:p>
    <w:tbl>
      <w:tblPr>
        <w:tblW w:w="9497" w:type="dxa"/>
        <w:tblLayout w:type="fixed"/>
        <w:tblCellMar>
          <w:left w:w="62" w:type="dxa"/>
          <w:right w:w="62" w:type="dxa"/>
        </w:tblCellMar>
        <w:tblLook w:val="0000"/>
      </w:tblPr>
      <w:tblGrid>
        <w:gridCol w:w="9497"/>
      </w:tblGrid>
      <w:tr w:rsidTr="00C439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Not applicable</w:t>
            </w:r>
          </w:p>
        </w:tc>
      </w:tr>
    </w:tbl>
    <w:p w:rsidR="00000000" w:rsidRPr="00C43948" w:rsidP="00C43948">
      <w:pPr>
        <w:pStyle w:val="NoPaddingFontSize1"/>
      </w:pPr>
    </w:p>
    <w:p w:rsidR="00000000" w:rsidRPr="00C43948" w:rsidP="00C43948">
      <w:pPr>
        <w:pStyle w:val="AllowPageBreak"/>
      </w:pPr>
    </w:p>
    <w:p w:rsidR="00000000" w:rsidRPr="00C43948" w:rsidP="00C43948">
      <w:pPr>
        <w:pStyle w:val="Heading1"/>
      </w:pPr>
      <w:bookmarkStart w:id="4" w:name="O_1063228"/>
      <w:bookmarkEnd w:id="4"/>
      <w:r w:rsidRPr="00C43948">
        <w:t>Competency Field</w:t>
      </w:r>
    </w:p>
    <w:tbl>
      <w:tblPr>
        <w:tblW w:w="9497" w:type="dxa"/>
        <w:tblLayout w:type="fixed"/>
        <w:tblCellMar>
          <w:left w:w="62" w:type="dxa"/>
          <w:right w:w="62" w:type="dxa"/>
        </w:tblCellMar>
        <w:tblLook w:val="0000"/>
      </w:tblPr>
      <w:tblGrid>
        <w:gridCol w:w="9497"/>
      </w:tblGrid>
      <w:tr w:rsidTr="00C439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LIC - Licencing Units</w:t>
            </w:r>
          </w:p>
        </w:tc>
      </w:tr>
    </w:tbl>
    <w:p w:rsidR="00000000" w:rsidRPr="00C43948" w:rsidP="00C43948">
      <w:pPr>
        <w:pStyle w:val="NoPaddingFontSize1"/>
      </w:pPr>
    </w:p>
    <w:p w:rsidR="00000000" w:rsidRPr="00C43948" w:rsidP="00C43948">
      <w:pPr>
        <w:pStyle w:val="AllowPageBreak"/>
      </w:pPr>
    </w:p>
    <w:p w:rsidR="00000000" w:rsidRPr="00C43948" w:rsidP="00C43948">
      <w:pPr>
        <w:pStyle w:val="Heading1"/>
      </w:pPr>
      <w:bookmarkStart w:id="5" w:name="O_1063227"/>
      <w:bookmarkEnd w:id="5"/>
      <w:r w:rsidRPr="00C43948">
        <w:t>Unit Sector</w:t>
      </w:r>
    </w:p>
    <w:tbl>
      <w:tblPr>
        <w:tblW w:w="9497" w:type="dxa"/>
        <w:tblLayout w:type="fixed"/>
        <w:tblCellMar>
          <w:left w:w="62" w:type="dxa"/>
          <w:right w:w="62" w:type="dxa"/>
        </w:tblCellMar>
        <w:tblLook w:val="0000"/>
      </w:tblPr>
      <w:tblGrid>
        <w:gridCol w:w="9497"/>
      </w:tblGrid>
      <w:tr w:rsidTr="00C439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Not applicable</w:t>
            </w:r>
          </w:p>
        </w:tc>
      </w:tr>
    </w:tbl>
    <w:p w:rsidR="00000000" w:rsidRPr="00C43948" w:rsidP="00C43948">
      <w:pPr>
        <w:pStyle w:val="NoPaddingFontSize1"/>
      </w:pPr>
    </w:p>
    <w:p w:rsidR="00000000" w:rsidRPr="00C43948" w:rsidP="00C43948">
      <w:pPr>
        <w:pStyle w:val="AllowPageBreak"/>
      </w:pPr>
    </w:p>
    <w:p w:rsidR="00000000" w:rsidRPr="00C43948" w:rsidP="00C43948">
      <w:pPr>
        <w:pStyle w:val="Heading1"/>
      </w:pPr>
      <w:bookmarkStart w:id="6" w:name="O_1063226"/>
      <w:bookmarkEnd w:id="6"/>
      <w:r w:rsidRPr="00C43948">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C43948">
        <w:tblPrEx>
          <w:tblW w:w="9498" w:type="dxa"/>
          <w:tblLayout w:type="fixed"/>
          <w:tblCellMar>
            <w:left w:w="62" w:type="dxa"/>
            <w:right w:w="62" w:type="dxa"/>
          </w:tblCellMar>
          <w:tblLook w:val="0000"/>
        </w:tblPrEx>
        <w:trPr>
          <w:trHeight w:val="610"/>
        </w:trPr>
        <w:tc>
          <w:tcPr>
            <w:tcW w:w="3189" w:type="dxa"/>
            <w:gridSpan w:val="2"/>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PERFORMANCE CRITERIA</w:t>
            </w:r>
          </w:p>
        </w:tc>
      </w:tr>
      <w:tr w:rsidTr="00C43948">
        <w:tblPrEx>
          <w:tblW w:w="9498" w:type="dxa"/>
          <w:tblLayout w:type="fixed"/>
          <w:tblCellMar>
            <w:left w:w="62" w:type="dxa"/>
            <w:right w:w="62" w:type="dxa"/>
          </w:tblCellMar>
          <w:tblLook w:val="0000"/>
        </w:tblPrEx>
        <w:trPr>
          <w:trHeight w:val="968"/>
        </w:trPr>
        <w:tc>
          <w:tcPr>
            <w:tcW w:w="3189" w:type="dxa"/>
            <w:gridSpan w:val="2"/>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Performance criteria describe the performance needed to demonstrate achievement of the element.</w:t>
            </w:r>
          </w:p>
        </w:tc>
      </w:tr>
      <w:tr w:rsidTr="00C43948">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Task requirements are identified from work orders or equivalent and a lift plan is confirmed with associated personnel and a site inspect</w:t>
            </w:r>
            <w:r w:rsidRPr="00C43948">
              <w:t>ion is conducted in accordance with workplace procedures</w:t>
            </w:r>
          </w:p>
        </w:tc>
      </w:tr>
      <w:tr w:rsidTr="00C43948">
        <w:tblPrEx>
          <w:tblW w:w="9498" w:type="dxa"/>
          <w:tblLayout w:type="fixed"/>
          <w:tblCellMar>
            <w:left w:w="62" w:type="dxa"/>
            <w:right w:w="62" w:type="dxa"/>
          </w:tblCellMar>
          <w:tblLook w:val="0000"/>
        </w:tblPrEx>
        <w:trPr>
          <w:trHeight w:val="10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Work area operating surface is confirmed to determine the quality of ground suitability for operational use of non-slewing mobile crane in accordance with workplace procedures</w:t>
            </w:r>
          </w:p>
        </w:tc>
      </w:tr>
      <w:tr w:rsidTr="00C4394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 xml:space="preserve">Non-slewing mobile crane rated capacity (RC) and the lifting gear Working Load Limit (WLL) are established for the load/s and work/task requirements in accordance with manufacturer requirements and workplace procedures </w:t>
            </w:r>
          </w:p>
        </w:tc>
      </w:tr>
      <w:tr w:rsidTr="00C43948">
        <w:tblPrEx>
          <w:tblW w:w="9498" w:type="dxa"/>
          <w:tblLayout w:type="fixed"/>
          <w:tblCellMar>
            <w:left w:w="62" w:type="dxa"/>
            <w:right w:w="62" w:type="dxa"/>
          </w:tblCellMar>
          <w:tblLook w:val="0000"/>
        </w:tblPrEx>
        <w:trPr>
          <w:trHeight w:val="91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 xml:space="preserve">Appropriate paths for operating the mobile crane and moving and placing load/s in work area are assessed and determined in accordance with workplace procedures </w:t>
            </w:r>
          </w:p>
        </w:tc>
      </w:tr>
      <w:tr w:rsidTr="00C43948">
        <w:tblPrEx>
          <w:tblW w:w="9498" w:type="dxa"/>
          <w:tblLayout w:type="fixed"/>
          <w:tblCellMar>
            <w:left w:w="62" w:type="dxa"/>
            <w:right w:w="62" w:type="dxa"/>
          </w:tblCellMar>
          <w:tblLook w:val="0000"/>
        </w:tblPrEx>
        <w:trPr>
          <w:trHeight w:val="91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Relevant hazard identification and risk elimination/control measures are applied and adv</w:t>
            </w:r>
            <w:r w:rsidRPr="00C43948">
              <w:t xml:space="preserve">ised to associated personnel in accordance with workplace </w:t>
            </w:r>
            <w:r w:rsidRPr="00C43948">
              <w:t xml:space="preserve">procedures </w:t>
            </w:r>
          </w:p>
        </w:tc>
      </w:tr>
      <w:tr w:rsidTr="00C43948">
        <w:tblPrEx>
          <w:tblW w:w="9498" w:type="dxa"/>
          <w:tblLayout w:type="fixed"/>
          <w:tblCellMar>
            <w:left w:w="62" w:type="dxa"/>
            <w:right w:w="62" w:type="dxa"/>
          </w:tblCellMar>
          <w:tblLook w:val="0000"/>
        </w:tblPrEx>
        <w:trPr>
          <w:trHeight w:val="83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 xml:space="preserve">Traffic management plan implementation is confirmed and followed in accordance with workplace procedures </w:t>
            </w:r>
          </w:p>
        </w:tc>
      </w:tr>
      <w:tr w:rsidTr="00C43948">
        <w:tblPrEx>
          <w:tblW w:w="9498" w:type="dxa"/>
          <w:tblLayout w:type="fixed"/>
          <w:tblCellMar>
            <w:left w:w="62" w:type="dxa"/>
            <w:right w:w="62" w:type="dxa"/>
          </w:tblCellMar>
          <w:tblLook w:val="0000"/>
        </w:tblPrEx>
        <w:trPr>
          <w:trHeight w:val="7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Appropriate communication procedures are identified and tested with associated personnel in accordance with workplace procedures</w:t>
            </w:r>
          </w:p>
        </w:tc>
      </w:tr>
      <w:tr w:rsidTr="00C43948">
        <w:tblPrEx>
          <w:tblW w:w="9498" w:type="dxa"/>
          <w:tblLayout w:type="fixed"/>
          <w:tblCellMar>
            <w:left w:w="62" w:type="dxa"/>
            <w:right w:w="62" w:type="dxa"/>
          </w:tblCellMar>
          <w:tblLook w:val="0000"/>
        </w:tblPrEx>
        <w:trPr>
          <w:trHeight w:val="825"/>
        </w:trPr>
        <w:tc>
          <w:tcPr>
            <w:tcW w:w="464"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 </w:t>
            </w:r>
          </w:p>
        </w:tc>
        <w:tc>
          <w:tcPr>
            <w:tcW w:w="2725"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 </w:t>
            </w: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All tasks are confirmed to ensure requirements for the relevant work area in accordance with a lift plan and workplace</w:t>
            </w:r>
            <w:r w:rsidRPr="00C43948">
              <w:t xml:space="preserve"> procedures</w:t>
            </w:r>
          </w:p>
        </w:tc>
      </w:tr>
      <w:tr w:rsidTr="00C43948">
        <w:tblPrEx>
          <w:tblW w:w="9498" w:type="dxa"/>
          <w:tblLayout w:type="fixed"/>
          <w:tblCellMar>
            <w:left w:w="62" w:type="dxa"/>
            <w:right w:w="62" w:type="dxa"/>
          </w:tblCellMar>
          <w:tblLook w:val="0000"/>
        </w:tblPrEx>
        <w:trPr>
          <w:trHeight w:val="945"/>
        </w:trPr>
        <w:tc>
          <w:tcPr>
            <w:tcW w:w="464"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Consultation with workplace personnel is established and maintained to ensure lift plan is clear and consistent with site requirements in accordance with a lift plan and workplace procedures</w:t>
            </w:r>
          </w:p>
        </w:tc>
      </w:tr>
      <w:tr w:rsidTr="00C43948">
        <w:tblPrEx>
          <w:tblW w:w="9498" w:type="dxa"/>
          <w:tblLayout w:type="fixed"/>
          <w:tblCellMar>
            <w:left w:w="62" w:type="dxa"/>
            <w:right w:w="62" w:type="dxa"/>
          </w:tblCellMar>
          <w:tblLook w:val="0000"/>
        </w:tblPrEx>
        <w:trPr>
          <w:trHeight w:val="82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Risk control measures for hazards identified are checked for implementation in accordance with the lift plan and safe work procedures</w:t>
            </w:r>
          </w:p>
        </w:tc>
      </w:tr>
      <w:tr w:rsidTr="00C43948">
        <w:tblPrEx>
          <w:tblW w:w="9498" w:type="dxa"/>
          <w:tblLayout w:type="fixed"/>
          <w:tblCellMar>
            <w:left w:w="62" w:type="dxa"/>
            <w:right w:w="62" w:type="dxa"/>
          </w:tblCellMar>
          <w:tblLook w:val="0000"/>
        </w:tblPrEx>
        <w:trPr>
          <w:trHeight w:val="848"/>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Non-slewing mobile crane is accessed safely in accordance with manufacturer requirements and safe work procedures</w:t>
            </w:r>
          </w:p>
        </w:tc>
      </w:tr>
      <w:tr w:rsidTr="00C43948">
        <w:tblPrEx>
          <w:tblW w:w="9498" w:type="dxa"/>
          <w:tblLayout w:type="fixed"/>
          <w:tblCellMar>
            <w:left w:w="62" w:type="dxa"/>
            <w:right w:w="62" w:type="dxa"/>
          </w:tblCellMar>
          <w:tblLook w:val="0000"/>
        </w:tblPrEx>
        <w:trPr>
          <w:trHeight w:val="102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Pre-start crane checks are carried out and any damage and defects are reported, recorded and appropriate action is taken in accordance with manufacturer requirements and safe work procedures</w:t>
            </w:r>
          </w:p>
        </w:tc>
      </w:tr>
      <w:tr w:rsidTr="00C43948">
        <w:tblPrEx>
          <w:tblW w:w="9498" w:type="dxa"/>
          <w:tblLayout w:type="fixed"/>
          <w:tblCellMar>
            <w:left w:w="62" w:type="dxa"/>
            <w:right w:w="62" w:type="dxa"/>
          </w:tblCellMar>
          <w:tblLook w:val="0000"/>
        </w:tblPrEx>
        <w:trPr>
          <w:trHeight w:val="10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Mobile crane is set up correctly with any lifting ge</w:t>
            </w:r>
            <w:r w:rsidRPr="00C43948">
              <w:t>ar as per the lift plan in accordance with relevant manufacturer requirements including load chart/s and safe work procedures</w:t>
            </w:r>
          </w:p>
        </w:tc>
      </w:tr>
      <w:tr w:rsidTr="00C43948">
        <w:tblPrEx>
          <w:tblW w:w="9498" w:type="dxa"/>
          <w:tblLayout w:type="fixed"/>
          <w:tblCellMar>
            <w:left w:w="62" w:type="dxa"/>
            <w:right w:w="62" w:type="dxa"/>
          </w:tblCellMar>
          <w:tblLook w:val="0000"/>
        </w:tblPrEx>
        <w:trPr>
          <w:trHeight w:val="7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Fly jib (if fitted) is set up as required in accordance with specific manufacturer requirements and safe work procedures</w:t>
            </w:r>
          </w:p>
        </w:tc>
      </w:tr>
      <w:tr w:rsidTr="00C43948">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Operational checks are carried out and any damage and defects are reported, recorded and appropriate action is taken in accordance with manufacturer requirements and safe work procedures</w:t>
            </w:r>
          </w:p>
        </w:tc>
      </w:tr>
      <w:tr w:rsidTr="00C43948">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Crane logbook is checked to confirm current compliance, is correct for the crane type, is completed and signed and required rectifications have been signed off in accordance with manufacturer requirements and safe work procedures</w:t>
            </w:r>
          </w:p>
        </w:tc>
      </w:tr>
      <w:tr w:rsidTr="00C43948">
        <w:tblPrEx>
          <w:tblW w:w="9498" w:type="dxa"/>
          <w:tblLayout w:type="fixed"/>
          <w:tblCellMar>
            <w:left w:w="62" w:type="dxa"/>
            <w:right w:w="62" w:type="dxa"/>
          </w:tblCellMar>
          <w:tblLook w:val="0000"/>
        </w:tblPrEx>
        <w:trPr>
          <w:trHeight w:val="960"/>
        </w:trPr>
        <w:tc>
          <w:tcPr>
            <w:tcW w:w="464"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 </w:t>
            </w:r>
          </w:p>
        </w:tc>
        <w:tc>
          <w:tcPr>
            <w:tcW w:w="2725"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 </w:t>
            </w: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2.9</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 xml:space="preserve">Weather and work </w:t>
            </w:r>
            <w:r w:rsidRPr="00C43948">
              <w:t>environment conditions are assessed to determine any impact on mobile crane operations in accordance with manufacturer requirements and safe work procedures</w:t>
            </w:r>
          </w:p>
        </w:tc>
      </w:tr>
      <w:tr w:rsidTr="00C43948">
        <w:tblPrEx>
          <w:tblW w:w="9498" w:type="dxa"/>
          <w:tblLayout w:type="fixed"/>
          <w:tblCellMar>
            <w:left w:w="62" w:type="dxa"/>
            <w:right w:w="62" w:type="dxa"/>
          </w:tblCellMar>
          <w:tblLook w:val="0000"/>
        </w:tblPrEx>
        <w:trPr>
          <w:trHeight w:val="810"/>
        </w:trPr>
        <w:tc>
          <w:tcPr>
            <w:tcW w:w="464"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rPr>
                <w:rStyle w:val="SpecialBold"/>
              </w:rPr>
              <w:t>Perform work/task</w:t>
            </w: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Lifts are determined within the RC of the non slewing mobile crane in accordance with the load chart/s and lift plan</w:t>
            </w:r>
          </w:p>
        </w:tc>
      </w:tr>
      <w:tr w:rsidTr="00C43948">
        <w:tblPrEx>
          <w:tblW w:w="9498" w:type="dxa"/>
          <w:tblLayout w:type="fixed"/>
          <w:tblCellMar>
            <w:left w:w="62" w:type="dxa"/>
            <w:right w:w="62" w:type="dxa"/>
          </w:tblCellMar>
          <w:tblLook w:val="0000"/>
        </w:tblPrEx>
        <w:trPr>
          <w:trHeight w:val="10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Boom/jib and hook block is safely positioned over the load following directions from associated personnel in accordance with the lif</w:t>
            </w:r>
            <w:r w:rsidRPr="00C43948">
              <w:t xml:space="preserve">t plan and safe work procedures </w:t>
            </w:r>
          </w:p>
        </w:tc>
      </w:tr>
      <w:tr w:rsidTr="00C43948">
        <w:tblPrEx>
          <w:tblW w:w="9498" w:type="dxa"/>
          <w:tblLayout w:type="fixed"/>
          <w:tblCellMar>
            <w:left w:w="62" w:type="dxa"/>
            <w:right w:w="62" w:type="dxa"/>
          </w:tblCellMar>
          <w:tblLook w:val="0000"/>
        </w:tblPrEx>
        <w:trPr>
          <w:trHeight w:val="96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Lifting gear where required is connected to the load and used safely in accordance with the lift plan, safe work procedures and manufacturer requirements</w:t>
            </w:r>
          </w:p>
        </w:tc>
      </w:tr>
      <w:tr w:rsidTr="00C43948">
        <w:tblPrEx>
          <w:tblW w:w="9498" w:type="dxa"/>
          <w:tblLayout w:type="fixed"/>
          <w:tblCellMar>
            <w:left w:w="62" w:type="dxa"/>
            <w:right w:w="62" w:type="dxa"/>
          </w:tblCellMar>
          <w:tblLook w:val="0000"/>
        </w:tblPrEx>
        <w:trPr>
          <w:trHeight w:val="84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Test lift is carried out in accordance with dogging and safe work procedures</w:t>
            </w:r>
          </w:p>
        </w:tc>
      </w:tr>
      <w:tr w:rsidTr="00C43948">
        <w:tblPrEx>
          <w:tblW w:w="9498" w:type="dxa"/>
          <w:tblLayout w:type="fixed"/>
          <w:tblCellMar>
            <w:left w:w="62" w:type="dxa"/>
            <w:right w:w="62" w:type="dxa"/>
          </w:tblCellMar>
          <w:tblLook w:val="0000"/>
        </w:tblPrEx>
        <w:trPr>
          <w:trHeight w:val="79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Loads are transferred using relevant crane movements and tag lines as required, in accordance with lift plan and safe work procedures</w:t>
            </w:r>
          </w:p>
        </w:tc>
      </w:tr>
      <w:tr w:rsidTr="00C43948">
        <w:tblPrEx>
          <w:tblW w:w="9498" w:type="dxa"/>
          <w:tblLayout w:type="fixed"/>
          <w:tblCellMar>
            <w:left w:w="62" w:type="dxa"/>
            <w:right w:w="62" w:type="dxa"/>
          </w:tblCellMar>
          <w:tblLook w:val="0000"/>
        </w:tblPrEx>
        <w:trPr>
          <w:trHeight w:val="73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Load and crane movement is monitored constantly and crane is operated safely in accordance with lift plan and safe work procedures</w:t>
            </w:r>
          </w:p>
        </w:tc>
      </w:tr>
      <w:tr w:rsidTr="00C43948">
        <w:tblPrEx>
          <w:tblW w:w="9498" w:type="dxa"/>
          <w:tblLayout w:type="fixed"/>
          <w:tblCellMar>
            <w:left w:w="62" w:type="dxa"/>
            <w:right w:w="62" w:type="dxa"/>
          </w:tblCellMar>
          <w:tblLook w:val="0000"/>
        </w:tblPrEx>
        <w:trPr>
          <w:trHeight w:val="99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 xml:space="preserve">All required communication signals are correctly interpreted and followed whilst crane is operated in accordance with the lift plan and safe work procedures </w:t>
            </w:r>
          </w:p>
        </w:tc>
      </w:tr>
      <w:tr w:rsidTr="00C43948">
        <w:tblPrEx>
          <w:tblW w:w="9498" w:type="dxa"/>
          <w:tblLayout w:type="fixed"/>
          <w:tblCellMar>
            <w:left w:w="62" w:type="dxa"/>
            <w:right w:w="62" w:type="dxa"/>
          </w:tblCellMar>
          <w:tblLook w:val="0000"/>
        </w:tblPrEx>
        <w:trPr>
          <w:trHeight w:val="79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Load is lowered and landed safely in accordance with lift plan and safe work procedures</w:t>
            </w:r>
          </w:p>
        </w:tc>
      </w:tr>
      <w:tr w:rsidTr="00C43948">
        <w:tblPrEx>
          <w:tblW w:w="9498" w:type="dxa"/>
          <w:tblLayout w:type="fixed"/>
          <w:tblCellMar>
            <w:left w:w="62" w:type="dxa"/>
            <w:right w:w="62" w:type="dxa"/>
          </w:tblCellMar>
          <w:tblLook w:val="0000"/>
        </w:tblPrEx>
        <w:trPr>
          <w:trHeight w:val="1020"/>
        </w:trPr>
        <w:tc>
          <w:tcPr>
            <w:tcW w:w="464"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 </w:t>
            </w:r>
          </w:p>
        </w:tc>
        <w:tc>
          <w:tcPr>
            <w:tcW w:w="2725"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 </w:t>
            </w: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 xml:space="preserve">Lifting gear is disconnected from load and crane is positioned safely and efficiently for next task in accordance with lift plan and safe work procedures </w:t>
            </w:r>
          </w:p>
        </w:tc>
      </w:tr>
      <w:tr w:rsidTr="00C43948">
        <w:tblPrEx>
          <w:tblW w:w="9498" w:type="dxa"/>
          <w:tblLayout w:type="fixed"/>
          <w:tblCellMar>
            <w:left w:w="62" w:type="dxa"/>
            <w:right w:w="62" w:type="dxa"/>
          </w:tblCellMar>
          <w:tblLook w:val="0000"/>
        </w:tblPrEx>
        <w:trPr>
          <w:trHeight w:val="855"/>
        </w:trPr>
        <w:tc>
          <w:tcPr>
            <w:tcW w:w="464"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rPr>
                <w:rStyle w:val="SpecialBold"/>
              </w:rPr>
              <w:t>Pack Up</w:t>
            </w: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Crane boom/jib, lifting gear and associated equipment is stowed and secured as r</w:t>
            </w:r>
            <w:r w:rsidRPr="00C43948">
              <w:t>equired in accordance with manufacturer requirements and safe work procedures</w:t>
            </w:r>
          </w:p>
        </w:tc>
      </w:tr>
      <w:tr w:rsidTr="00C43948">
        <w:tblPrEx>
          <w:tblW w:w="9498" w:type="dxa"/>
          <w:tblLayout w:type="fixed"/>
          <w:tblCellMar>
            <w:left w:w="62" w:type="dxa"/>
            <w:right w:w="62" w:type="dxa"/>
          </w:tblCellMar>
          <w:tblLook w:val="0000"/>
        </w:tblPrEx>
        <w:trPr>
          <w:trHeight w:val="87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Relevant motion locks and brakes are applied as required in accordance with manufacturer requirements and safe work procedures</w:t>
            </w:r>
          </w:p>
        </w:tc>
      </w:tr>
      <w:tr w:rsidTr="00C43948">
        <w:tblPrEx>
          <w:tblW w:w="9498" w:type="dxa"/>
          <w:tblLayout w:type="fixed"/>
          <w:tblCellMar>
            <w:left w:w="62" w:type="dxa"/>
            <w:right w:w="62" w:type="dxa"/>
          </w:tblCellMar>
          <w:tblLook w:val="0000"/>
        </w:tblPrEx>
        <w:trPr>
          <w:trHeight w:val="7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t>Crane is shut down and secured to prevent unauthorised access/use in accordance with safe work procedures</w:t>
            </w:r>
          </w:p>
        </w:tc>
      </w:tr>
      <w:tr w:rsidTr="00C43948">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43948">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43948">
            <w:pPr>
              <w:pStyle w:val="BodyText"/>
              <w:rPr>
                <w:lang w:val="en-NZ"/>
              </w:rPr>
            </w:pPr>
            <w:r w:rsidRPr="00C43948">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Post-operational crane checks are carried out in accordance with legislative responsibilities, safe work procedures and manufacturer requirements</w:t>
            </w:r>
          </w:p>
        </w:tc>
      </w:tr>
    </w:tbl>
    <w:p w:rsidR="00000000" w:rsidRPr="00C43948" w:rsidP="00C43948">
      <w:pPr>
        <w:pStyle w:val="NoPaddingFontSize1"/>
      </w:pPr>
    </w:p>
    <w:p w:rsidR="00000000" w:rsidRPr="00C43948" w:rsidP="00C43948">
      <w:pPr>
        <w:pStyle w:val="AllowPageBreak"/>
      </w:pPr>
    </w:p>
    <w:p w:rsidR="00000000" w:rsidRPr="00C43948" w:rsidP="00C43948">
      <w:pPr>
        <w:pStyle w:val="Heading1"/>
      </w:pPr>
      <w:bookmarkStart w:id="7" w:name="O_1063225"/>
      <w:bookmarkEnd w:id="7"/>
      <w:r w:rsidRPr="00C43948">
        <w:t>Foundation Skills</w:t>
      </w:r>
    </w:p>
    <w:tbl>
      <w:tblPr>
        <w:tblW w:w="9497" w:type="dxa"/>
        <w:tblLayout w:type="fixed"/>
        <w:tblCellMar>
          <w:left w:w="62" w:type="dxa"/>
          <w:right w:w="62" w:type="dxa"/>
        </w:tblCellMar>
        <w:tblLook w:val="0000"/>
      </w:tblPr>
      <w:tblGrid>
        <w:gridCol w:w="9497"/>
      </w:tblGrid>
      <w:tr w:rsidTr="00C439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Foundation skills essential to performance are explicit in the performa</w:t>
            </w:r>
            <w:r w:rsidRPr="00C43948">
              <w:t>nce criteria of this unit of competency</w:t>
            </w:r>
          </w:p>
        </w:tc>
      </w:tr>
    </w:tbl>
    <w:p w:rsidR="00000000" w:rsidRPr="00C43948" w:rsidP="00C43948">
      <w:pPr>
        <w:pStyle w:val="NoPaddingFontSize1"/>
      </w:pPr>
    </w:p>
    <w:p w:rsidR="00000000" w:rsidRPr="00C43948" w:rsidP="00C43948">
      <w:pPr>
        <w:pStyle w:val="AllowPageBreak"/>
      </w:pPr>
    </w:p>
    <w:p w:rsidR="00000000" w:rsidRPr="00C43948" w:rsidP="00C43948">
      <w:pPr>
        <w:pStyle w:val="Heading1"/>
      </w:pPr>
      <w:bookmarkStart w:id="8" w:name="O_1063224"/>
      <w:bookmarkEnd w:id="8"/>
      <w:r w:rsidRPr="00C43948">
        <w:t>Range of Conditions</w:t>
      </w:r>
    </w:p>
    <w:tbl>
      <w:tblPr>
        <w:tblW w:w="9497" w:type="dxa"/>
        <w:tblLayout w:type="fixed"/>
        <w:tblCellMar>
          <w:left w:w="62" w:type="dxa"/>
          <w:right w:w="62" w:type="dxa"/>
        </w:tblCellMar>
        <w:tblLook w:val="0000"/>
      </w:tblPr>
      <w:tblGrid>
        <w:gridCol w:w="9497"/>
      </w:tblGrid>
      <w:tr w:rsidTr="00C439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Range is restricted to essential operating conditions and any other variables essential to the work environment.</w:t>
            </w:r>
          </w:p>
          <w:p w:rsidR="00000000" w:rsidRPr="00C43948" w:rsidP="00C43948">
            <w:pPr>
              <w:pStyle w:val="BodyText"/>
            </w:pPr>
            <w:r w:rsidRPr="00C43948">
              <w:t>Non -essential conditions may be found in the Companion Volume Implementation Guide.</w:t>
            </w:r>
          </w:p>
        </w:tc>
      </w:tr>
    </w:tbl>
    <w:p w:rsidR="00000000" w:rsidRPr="00C43948" w:rsidP="00C43948">
      <w:pPr>
        <w:pStyle w:val="NoPaddingFontSize1"/>
      </w:pPr>
    </w:p>
    <w:p w:rsidR="00000000" w:rsidRPr="00C43948" w:rsidP="00C43948">
      <w:pPr>
        <w:pStyle w:val="AllowPageBreak"/>
      </w:pPr>
    </w:p>
    <w:p w:rsidR="00000000" w:rsidRPr="00C43948" w:rsidP="00C43948">
      <w:pPr>
        <w:pStyle w:val="Heading1"/>
      </w:pPr>
      <w:bookmarkStart w:id="9" w:name="O_1063223"/>
      <w:bookmarkEnd w:id="9"/>
      <w:r w:rsidRPr="00C43948">
        <w:t>Unit Mapping Information</w:t>
      </w:r>
    </w:p>
    <w:tbl>
      <w:tblPr>
        <w:tblW w:w="9497" w:type="dxa"/>
        <w:tblLayout w:type="fixed"/>
        <w:tblCellMar>
          <w:left w:w="62" w:type="dxa"/>
          <w:right w:w="62" w:type="dxa"/>
        </w:tblCellMar>
        <w:tblLook w:val="0000"/>
      </w:tblPr>
      <w:tblGrid>
        <w:gridCol w:w="9497"/>
      </w:tblGrid>
      <w:tr w:rsidTr="00C439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948" w:rsidP="00C43948">
            <w:pPr>
              <w:pStyle w:val="BodyText"/>
            </w:pPr>
            <w:r w:rsidRPr="00C43948">
              <w:t>This unit replaces and is equivalent to TLILIC3006 Licence to operate a non-slewing mobile crane (greater than 3 tonnes)</w:t>
            </w:r>
          </w:p>
        </w:tc>
      </w:tr>
    </w:tbl>
    <w:p w:rsidR="00000000" w:rsidRPr="00C43948" w:rsidP="00C43948">
      <w:pPr>
        <w:pStyle w:val="NoPaddingFontSize1"/>
      </w:pPr>
    </w:p>
    <w:p w:rsidR="00000000" w:rsidRPr="00C43948" w:rsidP="00C43948">
      <w:pPr>
        <w:pStyle w:val="AllowPageBreak"/>
      </w:pPr>
    </w:p>
    <w:p w:rsidR="00000000" w:rsidRPr="00C43948" w:rsidP="00C43948">
      <w:pPr>
        <w:pStyle w:val="Heading1"/>
      </w:pPr>
      <w:bookmarkStart w:id="10" w:name="O_1063232"/>
      <w:bookmarkEnd w:id="10"/>
      <w:r w:rsidRPr="00C43948">
        <w:t>Links</w:t>
      </w:r>
    </w:p>
    <w:p w:rsidR="00000000" w:rsidRPr="00C43948" w:rsidP="00165325">
      <w:pPr>
        <w:pStyle w:val="BodyText"/>
      </w:pPr>
      <w:r w:rsidRPr="00C43948">
        <w:t xml:space="preserve">Companion Volume Implementation Guide - </w:t>
      </w:r>
      <w:r>
        <w:fldChar w:fldCharType="begin"/>
      </w:r>
      <w:r>
        <w:instrText xml:space="preserve"> HYPERLINK "https://vetnet.gov.au/Pages/TrainingDocs.aspx?q=df441c6e-213d-43e3-874c-0b3f7036d851" </w:instrText>
      </w:r>
      <w:r>
        <w:fldChar w:fldCharType="separate"/>
      </w:r>
      <w:r w:rsidRPr="007A15AB">
        <w:rPr>
          <w:rStyle w:val="Hyperlink"/>
        </w:rPr>
        <w:t>https://vetnet.gov.au/Pages/TrainingDocs.aspx?q=df441c6e-213d-43e3-874c-0b3f7036d851</w:t>
      </w:r>
      <w:r>
        <w:fldChar w:fldCharType="end"/>
      </w:r>
    </w:p>
    <w:p w:rsidR="00000000" w:rsidRPr="00C43948" w:rsidP="00C43948"/>
    <w:sectPr w:rsidSect="00C439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48" w:rsidRPr="00165325" w:rsidP="00165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25" w:rsidP="00C43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325" w:rsidP="00C4394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65325" w:rsidP="00C439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948" w:rsidRPr="00165325" w:rsidP="001653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25" w:rsidRPr="002D2AF8" w:rsidP="00C43948">
    <w:pPr>
      <w:pStyle w:val="Header"/>
      <w:framePr w:wrap="around"/>
    </w:pPr>
    <w:r>
      <w:fldChar w:fldCharType="begin"/>
    </w:r>
    <w:r>
      <w:instrText xml:space="preserve"> TITLE   \* MERGEFORMAT </w:instrText>
    </w:r>
    <w:r>
      <w:fldChar w:fldCharType="separate"/>
    </w:r>
    <w:r>
      <w:t>TLILIC0008 Licence to operate a non-slewing mobile crane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65325" w:rsidP="00C439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6298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FA65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9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948"/>
    <w:pPr>
      <w:spacing w:before="360" w:after="60"/>
      <w:outlineLvl w:val="0"/>
    </w:pPr>
    <w:rPr>
      <w:sz w:val="32"/>
    </w:rPr>
  </w:style>
  <w:style w:type="paragraph" w:styleId="Heading2">
    <w:name w:val="heading 2"/>
    <w:basedOn w:val="HeadingBase"/>
    <w:next w:val="BodyText"/>
    <w:link w:val="Heading2Char"/>
    <w:qFormat/>
    <w:rsid w:val="00C43948"/>
    <w:pPr>
      <w:keepLines/>
      <w:spacing w:before="240" w:after="120"/>
      <w:outlineLvl w:val="1"/>
    </w:pPr>
    <w:rPr>
      <w:sz w:val="28"/>
      <w:szCs w:val="40"/>
    </w:rPr>
  </w:style>
  <w:style w:type="paragraph" w:styleId="Heading3">
    <w:name w:val="heading 3"/>
    <w:basedOn w:val="HeadingBase"/>
    <w:next w:val="BodyText"/>
    <w:link w:val="Heading3Char"/>
    <w:qFormat/>
    <w:rsid w:val="00C43948"/>
    <w:pPr>
      <w:spacing w:before="180" w:after="120"/>
      <w:outlineLvl w:val="2"/>
    </w:pPr>
    <w:rPr>
      <w:spacing w:val="-10"/>
      <w:kern w:val="32"/>
    </w:rPr>
  </w:style>
  <w:style w:type="paragraph" w:styleId="Heading4">
    <w:name w:val="heading 4"/>
    <w:basedOn w:val="HeadingBase"/>
    <w:next w:val="BodyText"/>
    <w:link w:val="Heading4Char"/>
    <w:qFormat/>
    <w:rsid w:val="00C43948"/>
    <w:pPr>
      <w:spacing w:before="160" w:after="120"/>
      <w:outlineLvl w:val="3"/>
    </w:pPr>
    <w:rPr>
      <w:sz w:val="22"/>
    </w:rPr>
  </w:style>
  <w:style w:type="paragraph" w:styleId="Heading5">
    <w:name w:val="heading 5"/>
    <w:basedOn w:val="HeadingBase"/>
    <w:next w:val="Normal"/>
    <w:link w:val="Heading5Char"/>
    <w:qFormat/>
    <w:rsid w:val="00C43948"/>
    <w:pPr>
      <w:spacing w:before="80"/>
      <w:outlineLvl w:val="4"/>
    </w:pPr>
    <w:rPr>
      <w:color w:val="918585"/>
      <w:sz w:val="20"/>
    </w:rPr>
  </w:style>
  <w:style w:type="paragraph" w:styleId="Heading6">
    <w:name w:val="heading 6"/>
    <w:basedOn w:val="HeadingBase"/>
    <w:next w:val="Normal"/>
    <w:link w:val="Heading6Char"/>
    <w:qFormat/>
    <w:rsid w:val="00C43948"/>
    <w:pPr>
      <w:spacing w:before="60"/>
      <w:outlineLvl w:val="5"/>
    </w:pPr>
    <w:rPr>
      <w:color w:val="918585"/>
      <w:sz w:val="20"/>
    </w:rPr>
  </w:style>
  <w:style w:type="paragraph" w:styleId="Heading7">
    <w:name w:val="heading 7"/>
    <w:basedOn w:val="Normal"/>
    <w:next w:val="Normal"/>
    <w:link w:val="Heading7Char"/>
    <w:qFormat/>
    <w:rsid w:val="00C43948"/>
    <w:pPr>
      <w:ind w:left="720"/>
      <w:outlineLvl w:val="6"/>
    </w:pPr>
    <w:rPr>
      <w:i/>
    </w:rPr>
  </w:style>
  <w:style w:type="paragraph" w:styleId="Heading8">
    <w:name w:val="heading 8"/>
    <w:basedOn w:val="Normal"/>
    <w:next w:val="Normal"/>
    <w:link w:val="Heading8Char"/>
    <w:qFormat/>
    <w:rsid w:val="00C43948"/>
    <w:pPr>
      <w:ind w:left="720"/>
      <w:outlineLvl w:val="7"/>
    </w:pPr>
    <w:rPr>
      <w:i/>
    </w:rPr>
  </w:style>
  <w:style w:type="paragraph" w:styleId="Heading9">
    <w:name w:val="heading 9"/>
    <w:basedOn w:val="Normal"/>
    <w:next w:val="Normal"/>
    <w:link w:val="Heading9Char"/>
    <w:qFormat/>
    <w:rsid w:val="00C43948"/>
    <w:pPr>
      <w:ind w:left="720"/>
      <w:outlineLvl w:val="8"/>
    </w:pPr>
    <w:rPr>
      <w:i/>
    </w:rPr>
  </w:style>
  <w:style w:type="character" w:default="1" w:styleId="DefaultParagraphFont">
    <w:name w:val="Default Paragraph Font"/>
    <w:uiPriority w:val="1"/>
    <w:unhideWhenUsed/>
    <w:rsid w:val="00C43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948"/>
  </w:style>
  <w:style w:type="character" w:customStyle="1" w:styleId="Heading1Char">
    <w:name w:val="Heading 1 Char"/>
    <w:basedOn w:val="DefaultParagraphFont"/>
    <w:link w:val="Heading1"/>
    <w:rsid w:val="00C43948"/>
    <w:rPr>
      <w:rFonts w:ascii="Times New Roman" w:eastAsia="Times New Roman" w:hAnsi="Times New Roman" w:cs="Times New Roman"/>
      <w:b/>
      <w:sz w:val="32"/>
      <w:szCs w:val="20"/>
      <w:lang w:eastAsia="en-US"/>
    </w:rPr>
  </w:style>
  <w:style w:type="paragraph" w:styleId="BodyText">
    <w:name w:val="Body Text"/>
    <w:basedOn w:val="Normal"/>
    <w:link w:val="BodyTextChar"/>
    <w:rsid w:val="00C439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948"/>
    <w:rPr>
      <w:rFonts w:ascii="Times New Roman" w:eastAsia="Times New Roman" w:hAnsi="Times New Roman" w:cs="Times New Roman"/>
      <w:sz w:val="24"/>
      <w:lang w:eastAsia="en-US"/>
    </w:rPr>
  </w:style>
  <w:style w:type="paragraph" w:styleId="ListBullet">
    <w:name w:val="List Bullet"/>
    <w:basedOn w:val="List"/>
    <w:rsid w:val="00C43948"/>
    <w:pPr>
      <w:numPr>
        <w:numId w:val="11"/>
      </w:numPr>
      <w:tabs>
        <w:tab w:val="clear" w:pos="340"/>
      </w:tabs>
      <w:spacing w:before="40" w:after="40"/>
    </w:pPr>
  </w:style>
  <w:style w:type="character" w:customStyle="1" w:styleId="SpecialBold">
    <w:name w:val="Special Bold"/>
    <w:basedOn w:val="DefaultParagraphFont"/>
    <w:rsid w:val="00C43948"/>
    <w:rPr>
      <w:b/>
      <w:spacing w:val="0"/>
    </w:rPr>
  </w:style>
  <w:style w:type="paragraph" w:customStyle="1" w:styleId="SuperHeading">
    <w:name w:val="SuperHeading"/>
    <w:basedOn w:val="Normal"/>
    <w:rsid w:val="00C43948"/>
    <w:pPr>
      <w:spacing w:before="240" w:after="120"/>
      <w:outlineLvl w:val="0"/>
    </w:pPr>
    <w:rPr>
      <w:rFonts w:ascii="Times New Roman" w:hAnsi="Times New Roman"/>
      <w:b/>
      <w:sz w:val="32"/>
    </w:rPr>
  </w:style>
  <w:style w:type="paragraph" w:customStyle="1" w:styleId="AllowPageBreak">
    <w:name w:val="AllowPageBreak"/>
    <w:rsid w:val="00C439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3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9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9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948"/>
    <w:rPr>
      <w:rFonts w:ascii="Courier New" w:eastAsia="Times New Roman" w:hAnsi="Courier New" w:cs="Times New Roman"/>
      <w:i/>
      <w:szCs w:val="20"/>
      <w:lang w:eastAsia="en-US"/>
    </w:rPr>
  </w:style>
  <w:style w:type="paragraph" w:customStyle="1" w:styleId="HeadingBase">
    <w:name w:val="Heading Base"/>
    <w:rsid w:val="00C43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948"/>
    <w:pPr>
      <w:tabs>
        <w:tab w:val="right" w:leader="dot" w:pos="9072"/>
      </w:tabs>
      <w:ind w:left="567"/>
    </w:pPr>
    <w:rPr>
      <w:szCs w:val="22"/>
    </w:rPr>
  </w:style>
  <w:style w:type="paragraph" w:customStyle="1" w:styleId="TOCBase">
    <w:name w:val="TOC Base"/>
    <w:rsid w:val="00C43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948"/>
    <w:pPr>
      <w:tabs>
        <w:tab w:val="right" w:leader="dot" w:pos="9072"/>
      </w:tabs>
      <w:spacing w:before="40" w:after="40"/>
      <w:ind w:left="284"/>
    </w:pPr>
    <w:rPr>
      <w:rFonts w:ascii="Times New Roman" w:hAnsi="Times New Roman"/>
    </w:rPr>
  </w:style>
  <w:style w:type="paragraph" w:styleId="TOC1">
    <w:name w:val="toc 1"/>
    <w:basedOn w:val="TOCBase"/>
    <w:next w:val="Normal"/>
    <w:rsid w:val="00C439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948"/>
    <w:rPr>
      <w:rFonts w:ascii="Times New Roman" w:eastAsia="Times New Roman" w:hAnsi="Times New Roman" w:cs="Times New Roman"/>
      <w:sz w:val="16"/>
      <w:lang w:eastAsia="en-US"/>
    </w:rPr>
  </w:style>
  <w:style w:type="paragraph" w:styleId="Title">
    <w:name w:val="Title"/>
    <w:basedOn w:val="HeadingBase"/>
    <w:link w:val="TitleChar"/>
    <w:qFormat/>
    <w:rsid w:val="00C43948"/>
    <w:pPr>
      <w:spacing w:before="5040"/>
      <w:jc w:val="center"/>
    </w:pPr>
    <w:rPr>
      <w:sz w:val="48"/>
      <w:szCs w:val="72"/>
      <w:lang w:val="en-US"/>
    </w:rPr>
  </w:style>
  <w:style w:type="character" w:customStyle="1" w:styleId="TitleChar">
    <w:name w:val="Title Char"/>
    <w:basedOn w:val="DefaultParagraphFont"/>
    <w:link w:val="Title"/>
    <w:rsid w:val="00C43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948"/>
    <w:pPr>
      <w:tabs>
        <w:tab w:val="left" w:pos="3600"/>
        <w:tab w:val="left" w:pos="3958"/>
      </w:tabs>
    </w:pPr>
  </w:style>
  <w:style w:type="paragraph" w:styleId="List">
    <w:name w:val="List"/>
    <w:basedOn w:val="BodyText"/>
    <w:next w:val="BodyText"/>
    <w:rsid w:val="00C43948"/>
    <w:pPr>
      <w:tabs>
        <w:tab w:val="left" w:pos="340"/>
      </w:tabs>
      <w:spacing w:before="60" w:after="60"/>
      <w:ind w:left="340" w:hanging="340"/>
    </w:pPr>
  </w:style>
  <w:style w:type="paragraph" w:customStyle="1" w:styleId="Note">
    <w:name w:val="Note"/>
    <w:basedOn w:val="BodyText"/>
    <w:rsid w:val="00C43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948"/>
    <w:pPr>
      <w:framePr w:wrap="auto" w:hAnchor="text" w:y="6049"/>
    </w:pPr>
    <w:rPr>
      <w:color w:val="000000"/>
      <w:sz w:val="40"/>
    </w:rPr>
  </w:style>
  <w:style w:type="paragraph" w:customStyle="1" w:styleId="TOCTitle">
    <w:name w:val="TOCTitle"/>
    <w:basedOn w:val="Heading1"/>
    <w:rsid w:val="00C43948"/>
    <w:pPr>
      <w:spacing w:after="240"/>
      <w:jc w:val="center"/>
      <w:outlineLvl w:val="9"/>
    </w:pPr>
    <w:rPr>
      <w:caps/>
    </w:rPr>
  </w:style>
  <w:style w:type="paragraph" w:customStyle="1" w:styleId="Version">
    <w:name w:val="Version"/>
    <w:rsid w:val="00C439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3948"/>
    <w:pPr>
      <w:numPr>
        <w:numId w:val="12"/>
      </w:numPr>
      <w:tabs>
        <w:tab w:val="clear" w:pos="680"/>
      </w:tabs>
    </w:pPr>
  </w:style>
  <w:style w:type="paragraph" w:styleId="Index1">
    <w:name w:val="index 1"/>
    <w:basedOn w:val="Normal"/>
    <w:next w:val="Normal"/>
    <w:semiHidden/>
    <w:rsid w:val="00C43948"/>
    <w:pPr>
      <w:keepNext w:val="0"/>
      <w:tabs>
        <w:tab w:val="right" w:pos="4176"/>
      </w:tabs>
      <w:ind w:left="198" w:hanging="198"/>
    </w:pPr>
    <w:rPr>
      <w:rFonts w:ascii="Garamond" w:hAnsi="Garamond"/>
    </w:rPr>
  </w:style>
  <w:style w:type="paragraph" w:styleId="IndexHeading">
    <w:name w:val="index heading"/>
    <w:basedOn w:val="Normal"/>
    <w:next w:val="Index1"/>
    <w:semiHidden/>
    <w:rsid w:val="00C43948"/>
    <w:pPr>
      <w:spacing w:before="120" w:after="120"/>
    </w:pPr>
    <w:rPr>
      <w:rFonts w:ascii="Arial" w:hAnsi="Arial"/>
      <w:b/>
      <w:color w:val="918585"/>
      <w:sz w:val="24"/>
    </w:rPr>
  </w:style>
  <w:style w:type="paragraph" w:styleId="Header">
    <w:name w:val="header"/>
    <w:basedOn w:val="Normal"/>
    <w:link w:val="HeaderChar"/>
    <w:rsid w:val="00C43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948"/>
    <w:rPr>
      <w:rFonts w:ascii="Times New Roman" w:eastAsia="Times New Roman" w:hAnsi="Times New Roman" w:cs="Times New Roman"/>
      <w:sz w:val="16"/>
      <w:szCs w:val="20"/>
      <w:lang w:val="en-GB" w:eastAsia="en-US"/>
    </w:rPr>
  </w:style>
  <w:style w:type="paragraph" w:customStyle="1" w:styleId="Chapter">
    <w:name w:val="Chapter"/>
    <w:basedOn w:val="Normal"/>
    <w:rsid w:val="00C43948"/>
    <w:pPr>
      <w:spacing w:before="240"/>
    </w:pPr>
    <w:rPr>
      <w:rFonts w:ascii="Times New Roman" w:hAnsi="Times New Roman"/>
      <w:smallCaps/>
      <w:spacing w:val="80"/>
      <w:sz w:val="28"/>
    </w:rPr>
  </w:style>
  <w:style w:type="paragraph" w:customStyle="1" w:styleId="InChapter">
    <w:name w:val="InChapter"/>
    <w:basedOn w:val="Heading3"/>
    <w:rsid w:val="00C43948"/>
    <w:pPr>
      <w:spacing w:after="240"/>
      <w:outlineLvl w:val="9"/>
    </w:pPr>
    <w:rPr>
      <w:noProof/>
    </w:rPr>
  </w:style>
  <w:style w:type="paragraph" w:styleId="Index2">
    <w:name w:val="index 2"/>
    <w:basedOn w:val="Normal"/>
    <w:next w:val="Normal"/>
    <w:semiHidden/>
    <w:rsid w:val="00C43948"/>
    <w:pPr>
      <w:tabs>
        <w:tab w:val="right" w:pos="4176"/>
      </w:tabs>
      <w:ind w:left="568" w:hanging="284"/>
    </w:pPr>
    <w:rPr>
      <w:rFonts w:ascii="Garamond" w:hAnsi="Garamond"/>
    </w:rPr>
  </w:style>
  <w:style w:type="paragraph" w:customStyle="1" w:styleId="Byline">
    <w:name w:val="Byline"/>
    <w:rsid w:val="00C43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948"/>
    <w:pPr>
      <w:tabs>
        <w:tab w:val="clear" w:pos="3600"/>
        <w:tab w:val="clear" w:pos="3958"/>
      </w:tabs>
      <w:jc w:val="right"/>
    </w:pPr>
  </w:style>
  <w:style w:type="character" w:styleId="Emphasis">
    <w:name w:val="Emphasis"/>
    <w:basedOn w:val="DefaultParagraphFont"/>
    <w:qFormat/>
    <w:rsid w:val="00C43948"/>
    <w:rPr>
      <w:i/>
    </w:rPr>
  </w:style>
  <w:style w:type="paragraph" w:styleId="Caption">
    <w:name w:val="caption"/>
    <w:basedOn w:val="BodyText"/>
    <w:next w:val="Normal"/>
    <w:qFormat/>
    <w:rsid w:val="00C43948"/>
    <w:pPr>
      <w:framePr w:w="2268" w:hSpace="181" w:vSpace="181" w:wrap="around" w:vAnchor="text" w:hAnchor="page" w:x="1135" w:y="285" w:anchorLock="1"/>
    </w:pPr>
    <w:rPr>
      <w:i/>
    </w:rPr>
  </w:style>
  <w:style w:type="paragraph" w:customStyle="1" w:styleId="MiniTOCTitle">
    <w:name w:val="MiniTOCTitle"/>
    <w:basedOn w:val="Heading4"/>
    <w:rsid w:val="00C43948"/>
    <w:pPr>
      <w:spacing w:before="240"/>
      <w:outlineLvl w:val="9"/>
    </w:pPr>
    <w:rPr>
      <w:noProof/>
      <w:sz w:val="24"/>
    </w:rPr>
  </w:style>
  <w:style w:type="paragraph" w:customStyle="1" w:styleId="MiniTOCItem">
    <w:name w:val="MiniTOCItem"/>
    <w:basedOn w:val="ListBullet"/>
    <w:rsid w:val="00C43948"/>
    <w:pPr>
      <w:numPr>
        <w:numId w:val="0"/>
      </w:numPr>
      <w:tabs>
        <w:tab w:val="right" w:leader="dot" w:pos="6521"/>
      </w:tabs>
      <w:spacing w:before="0" w:after="0"/>
    </w:pPr>
  </w:style>
  <w:style w:type="paragraph" w:customStyle="1" w:styleId="TOFTitle">
    <w:name w:val="TOFTitle"/>
    <w:basedOn w:val="TOCTitle"/>
    <w:rsid w:val="00C43948"/>
  </w:style>
  <w:style w:type="paragraph" w:styleId="TableofFigures">
    <w:name w:val="table of figures"/>
    <w:basedOn w:val="Normal"/>
    <w:next w:val="Normal"/>
    <w:semiHidden/>
    <w:rsid w:val="00C43948"/>
    <w:pPr>
      <w:tabs>
        <w:tab w:val="right" w:leader="dot" w:pos="9072"/>
      </w:tabs>
      <w:ind w:left="970" w:hanging="403"/>
    </w:pPr>
    <w:rPr>
      <w:rFonts w:ascii="Times New Roman" w:hAnsi="Times New Roman"/>
      <w:b/>
    </w:rPr>
  </w:style>
  <w:style w:type="paragraph" w:styleId="ListNumber">
    <w:name w:val="List Number"/>
    <w:basedOn w:val="List"/>
    <w:rsid w:val="00C43948"/>
    <w:pPr>
      <w:numPr>
        <w:numId w:val="14"/>
      </w:numPr>
      <w:tabs>
        <w:tab w:val="clear" w:pos="340"/>
      </w:tabs>
    </w:pPr>
  </w:style>
  <w:style w:type="character" w:customStyle="1" w:styleId="WingdingSymbols">
    <w:name w:val="Wingding Symbols"/>
    <w:rsid w:val="00C43948"/>
    <w:rPr>
      <w:rFonts w:ascii="Wingdings" w:hAnsi="Wingdings"/>
    </w:rPr>
  </w:style>
  <w:style w:type="paragraph" w:customStyle="1" w:styleId="TableHeading">
    <w:name w:val="Table Heading"/>
    <w:basedOn w:val="HeadingBase"/>
    <w:rsid w:val="00C43948"/>
    <w:pPr>
      <w:keepLines/>
      <w:pBdr>
        <w:bottom w:val="single" w:sz="6" w:space="1" w:color="918585"/>
      </w:pBdr>
      <w:spacing w:before="240"/>
    </w:pPr>
  </w:style>
  <w:style w:type="character" w:customStyle="1" w:styleId="HotSpot">
    <w:name w:val="HotSpot"/>
    <w:rsid w:val="00C43948"/>
    <w:rPr>
      <w:color w:val="0033CC"/>
      <w:u w:val="none"/>
    </w:rPr>
  </w:style>
  <w:style w:type="paragraph" w:customStyle="1" w:styleId="BodyTextRight">
    <w:name w:val="Body Text Right"/>
    <w:basedOn w:val="BodyText"/>
    <w:rsid w:val="00C43948"/>
    <w:pPr>
      <w:spacing w:before="0" w:after="0"/>
      <w:jc w:val="right"/>
    </w:pPr>
  </w:style>
  <w:style w:type="paragraph" w:styleId="Index3">
    <w:name w:val="index 3"/>
    <w:basedOn w:val="ListNumber2"/>
    <w:next w:val="Normal"/>
    <w:semiHidden/>
    <w:rsid w:val="00C43948"/>
    <w:pPr>
      <w:numPr>
        <w:numId w:val="0"/>
      </w:numPr>
      <w:tabs>
        <w:tab w:val="right" w:leader="dot" w:pos="4176"/>
      </w:tabs>
    </w:pPr>
  </w:style>
  <w:style w:type="paragraph" w:styleId="ListNumber2">
    <w:name w:val="List Number 2"/>
    <w:basedOn w:val="List2"/>
    <w:rsid w:val="00C43948"/>
    <w:pPr>
      <w:numPr>
        <w:numId w:val="9"/>
      </w:numPr>
      <w:tabs>
        <w:tab w:val="clear" w:pos="1060"/>
      </w:tabs>
    </w:pPr>
  </w:style>
  <w:style w:type="paragraph" w:customStyle="1" w:styleId="MarginNote">
    <w:name w:val="Margin Note"/>
    <w:basedOn w:val="BodyText"/>
    <w:rsid w:val="00C43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9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948"/>
    <w:rPr>
      <w:sz w:val="32"/>
    </w:rPr>
  </w:style>
  <w:style w:type="paragraph" w:customStyle="1" w:styleId="HeadingProcedure">
    <w:name w:val="Heading Procedure"/>
    <w:basedOn w:val="HeadingBase"/>
    <w:next w:val="Normal"/>
    <w:rsid w:val="00C43948"/>
    <w:pPr>
      <w:tabs>
        <w:tab w:val="left" w:pos="0"/>
      </w:tabs>
      <w:spacing w:before="120" w:after="60"/>
    </w:pPr>
    <w:rPr>
      <w:i/>
      <w:color w:val="918585"/>
      <w:sz w:val="22"/>
    </w:rPr>
  </w:style>
  <w:style w:type="paragraph" w:customStyle="1" w:styleId="TableBodyText">
    <w:name w:val="Table Body Text"/>
    <w:basedOn w:val="BodyText"/>
    <w:rsid w:val="00C43948"/>
    <w:pPr>
      <w:spacing w:before="60" w:after="60"/>
    </w:pPr>
  </w:style>
  <w:style w:type="paragraph" w:styleId="ListContinue">
    <w:name w:val="List Continue"/>
    <w:basedOn w:val="List"/>
    <w:rsid w:val="00C43948"/>
    <w:pPr>
      <w:ind w:firstLine="0"/>
    </w:pPr>
  </w:style>
  <w:style w:type="paragraph" w:customStyle="1" w:styleId="ListNote">
    <w:name w:val="List Note"/>
    <w:basedOn w:val="List"/>
    <w:rsid w:val="00C43948"/>
    <w:pPr>
      <w:pBdr>
        <w:top w:val="single" w:sz="6" w:space="2" w:color="918585"/>
        <w:bottom w:val="single" w:sz="6" w:space="2" w:color="918585"/>
      </w:pBdr>
      <w:tabs>
        <w:tab w:val="left" w:pos="1021"/>
      </w:tabs>
      <w:ind w:firstLine="0"/>
    </w:pPr>
  </w:style>
  <w:style w:type="paragraph" w:customStyle="1" w:styleId="Warning">
    <w:name w:val="Warning"/>
    <w:basedOn w:val="BodyText"/>
    <w:rsid w:val="00C43948"/>
    <w:pPr>
      <w:shd w:val="clear" w:color="auto" w:fill="D9D9D9"/>
      <w:tabs>
        <w:tab w:val="left" w:pos="992"/>
      </w:tabs>
      <w:ind w:left="119" w:right="119"/>
    </w:pPr>
    <w:rPr>
      <w:sz w:val="20"/>
    </w:rPr>
  </w:style>
  <w:style w:type="paragraph" w:customStyle="1" w:styleId="MarginIcons">
    <w:name w:val="Margin Icons"/>
    <w:basedOn w:val="BodyText"/>
    <w:rsid w:val="00C43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948"/>
    <w:rPr>
      <w:rFonts w:ascii="Courier New" w:hAnsi="Courier New"/>
    </w:rPr>
  </w:style>
  <w:style w:type="paragraph" w:customStyle="1" w:styleId="NoteBullet">
    <w:name w:val="Note Bullet"/>
    <w:basedOn w:val="Note"/>
    <w:rsid w:val="00C43948"/>
    <w:pPr>
      <w:tabs>
        <w:tab w:val="clear" w:pos="680"/>
      </w:tabs>
      <w:spacing w:before="60" w:after="60"/>
    </w:pPr>
  </w:style>
  <w:style w:type="paragraph" w:customStyle="1" w:styleId="SubHeading2">
    <w:name w:val="SubHeading2"/>
    <w:basedOn w:val="HeadingBase"/>
    <w:rsid w:val="00C43948"/>
    <w:pPr>
      <w:spacing w:before="240" w:after="60"/>
    </w:pPr>
    <w:rPr>
      <w:sz w:val="20"/>
    </w:rPr>
  </w:style>
  <w:style w:type="paragraph" w:customStyle="1" w:styleId="SubHeading1">
    <w:name w:val="SubHeading1"/>
    <w:basedOn w:val="HeadingBase"/>
    <w:rsid w:val="00C43948"/>
    <w:pPr>
      <w:spacing w:before="240" w:after="60"/>
    </w:pPr>
    <w:rPr>
      <w:color w:val="918585"/>
      <w:sz w:val="22"/>
    </w:rPr>
  </w:style>
  <w:style w:type="paragraph" w:customStyle="1" w:styleId="SideHeading">
    <w:name w:val="Side Heading"/>
    <w:basedOn w:val="HeadingBase"/>
    <w:rsid w:val="00C43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948"/>
    <w:pPr>
      <w:numPr>
        <w:numId w:val="10"/>
      </w:numPr>
    </w:pPr>
  </w:style>
  <w:style w:type="paragraph" w:styleId="PlainText">
    <w:name w:val="Plain Text"/>
    <w:basedOn w:val="Normal"/>
    <w:link w:val="PlainTextChar"/>
    <w:rsid w:val="00C43948"/>
    <w:rPr>
      <w:sz w:val="20"/>
    </w:rPr>
  </w:style>
  <w:style w:type="character" w:customStyle="1" w:styleId="PlainTextChar">
    <w:name w:val="Plain Text Char"/>
    <w:basedOn w:val="DefaultParagraphFont"/>
    <w:link w:val="PlainText"/>
    <w:rsid w:val="00C43948"/>
    <w:rPr>
      <w:rFonts w:ascii="Courier New" w:eastAsia="Times New Roman" w:hAnsi="Courier New" w:cs="Times New Roman"/>
      <w:sz w:val="20"/>
      <w:szCs w:val="20"/>
      <w:lang w:eastAsia="en-US"/>
    </w:rPr>
  </w:style>
  <w:style w:type="character" w:customStyle="1" w:styleId="MenuOption">
    <w:name w:val="Menu Option"/>
    <w:basedOn w:val="DefaultParagraphFont"/>
    <w:rsid w:val="00C43948"/>
    <w:rPr>
      <w:b/>
      <w:smallCaps/>
    </w:rPr>
  </w:style>
  <w:style w:type="paragraph" w:customStyle="1" w:styleId="TableListNumber">
    <w:name w:val="Table List Number"/>
    <w:basedOn w:val="ListNumber"/>
    <w:rsid w:val="00C43948"/>
    <w:pPr>
      <w:numPr>
        <w:numId w:val="0"/>
      </w:numPr>
    </w:pPr>
  </w:style>
  <w:style w:type="paragraph" w:styleId="TOC4">
    <w:name w:val="toc 4"/>
    <w:basedOn w:val="TOCBase"/>
    <w:next w:val="Normal"/>
    <w:semiHidden/>
    <w:rsid w:val="00C43948"/>
    <w:pPr>
      <w:tabs>
        <w:tab w:val="right" w:leader="dot" w:pos="9071"/>
      </w:tabs>
      <w:ind w:left="1701"/>
    </w:pPr>
  </w:style>
  <w:style w:type="paragraph" w:customStyle="1" w:styleId="ListAlpha">
    <w:name w:val="List Alpha"/>
    <w:basedOn w:val="List"/>
    <w:rsid w:val="00C43948"/>
    <w:pPr>
      <w:numPr>
        <w:numId w:val="8"/>
      </w:numPr>
    </w:pPr>
  </w:style>
  <w:style w:type="paragraph" w:customStyle="1" w:styleId="ListAlpha2">
    <w:name w:val="List Alpha 2"/>
    <w:basedOn w:val="List2"/>
    <w:rsid w:val="00C43948"/>
    <w:pPr>
      <w:numPr>
        <w:numId w:val="7"/>
      </w:numPr>
    </w:pPr>
  </w:style>
  <w:style w:type="paragraph" w:styleId="List2">
    <w:name w:val="List 2"/>
    <w:basedOn w:val="BodyText"/>
    <w:rsid w:val="00C43948"/>
    <w:pPr>
      <w:tabs>
        <w:tab w:val="left" w:pos="680"/>
      </w:tabs>
      <w:spacing w:before="60" w:after="60"/>
      <w:ind w:left="680" w:hanging="340"/>
    </w:pPr>
  </w:style>
  <w:style w:type="paragraph" w:styleId="List3">
    <w:name w:val="List 3"/>
    <w:basedOn w:val="BodyText"/>
    <w:rsid w:val="00C43948"/>
    <w:pPr>
      <w:tabs>
        <w:tab w:val="left" w:pos="1021"/>
      </w:tabs>
      <w:spacing w:before="60" w:after="60"/>
      <w:ind w:left="1020" w:hanging="340"/>
    </w:pPr>
  </w:style>
  <w:style w:type="paragraph" w:styleId="List4">
    <w:name w:val="List 4"/>
    <w:basedOn w:val="BodyText"/>
    <w:rsid w:val="00C43948"/>
    <w:pPr>
      <w:tabs>
        <w:tab w:val="left" w:pos="1361"/>
      </w:tabs>
      <w:spacing w:before="60" w:after="60"/>
      <w:ind w:left="1361" w:hanging="340"/>
    </w:pPr>
  </w:style>
  <w:style w:type="paragraph" w:styleId="List5">
    <w:name w:val="List 5"/>
    <w:basedOn w:val="BodyText"/>
    <w:rsid w:val="00C43948"/>
    <w:pPr>
      <w:tabs>
        <w:tab w:val="left" w:pos="1701"/>
      </w:tabs>
      <w:spacing w:before="60" w:after="60"/>
      <w:ind w:left="1701" w:hanging="340"/>
    </w:pPr>
  </w:style>
  <w:style w:type="paragraph" w:styleId="ListBullet3">
    <w:name w:val="List Bullet 3"/>
    <w:basedOn w:val="List3"/>
    <w:rsid w:val="00C43948"/>
    <w:pPr>
      <w:numPr>
        <w:numId w:val="13"/>
      </w:numPr>
      <w:tabs>
        <w:tab w:val="clear" w:pos="1021"/>
      </w:tabs>
      <w:ind w:left="1037" w:hanging="357"/>
    </w:pPr>
  </w:style>
  <w:style w:type="paragraph" w:styleId="ListBullet4">
    <w:name w:val="List Bullet 4"/>
    <w:basedOn w:val="List4"/>
    <w:rsid w:val="00C43948"/>
    <w:pPr>
      <w:numPr>
        <w:numId w:val="2"/>
      </w:numPr>
      <w:tabs>
        <w:tab w:val="clear" w:pos="1361"/>
      </w:tabs>
    </w:pPr>
  </w:style>
  <w:style w:type="paragraph" w:styleId="ListBullet5">
    <w:name w:val="List Bullet 5"/>
    <w:basedOn w:val="List5"/>
    <w:rsid w:val="00C43948"/>
    <w:pPr>
      <w:numPr>
        <w:numId w:val="3"/>
      </w:numPr>
    </w:pPr>
  </w:style>
  <w:style w:type="paragraph" w:styleId="ListContinue2">
    <w:name w:val="List Continue 2"/>
    <w:basedOn w:val="List2"/>
    <w:rsid w:val="00C43948"/>
    <w:pPr>
      <w:ind w:firstLine="0"/>
    </w:pPr>
  </w:style>
  <w:style w:type="paragraph" w:styleId="ListContinue3">
    <w:name w:val="List Continue 3"/>
    <w:basedOn w:val="List3"/>
    <w:rsid w:val="00C43948"/>
    <w:pPr>
      <w:ind w:left="1021" w:firstLine="0"/>
    </w:pPr>
  </w:style>
  <w:style w:type="paragraph" w:styleId="ListContinue4">
    <w:name w:val="List Continue 4"/>
    <w:basedOn w:val="List4"/>
    <w:rsid w:val="00C43948"/>
    <w:pPr>
      <w:ind w:firstLine="0"/>
    </w:pPr>
  </w:style>
  <w:style w:type="paragraph" w:styleId="ListContinue5">
    <w:name w:val="List Continue 5"/>
    <w:basedOn w:val="List5"/>
    <w:rsid w:val="00C43948"/>
    <w:pPr>
      <w:ind w:firstLine="0"/>
    </w:pPr>
  </w:style>
  <w:style w:type="paragraph" w:styleId="ListNumber3">
    <w:name w:val="List Number 3"/>
    <w:basedOn w:val="List3"/>
    <w:rsid w:val="00C43948"/>
    <w:pPr>
      <w:numPr>
        <w:numId w:val="4"/>
      </w:numPr>
    </w:pPr>
  </w:style>
  <w:style w:type="paragraph" w:styleId="ListNumber4">
    <w:name w:val="List Number 4"/>
    <w:basedOn w:val="List4"/>
    <w:rsid w:val="00C43948"/>
    <w:pPr>
      <w:numPr>
        <w:numId w:val="5"/>
      </w:numPr>
    </w:pPr>
  </w:style>
  <w:style w:type="paragraph" w:styleId="ListNumber5">
    <w:name w:val="List Number 5"/>
    <w:basedOn w:val="List5"/>
    <w:rsid w:val="00C43948"/>
    <w:pPr>
      <w:numPr>
        <w:numId w:val="6"/>
      </w:numPr>
    </w:pPr>
  </w:style>
  <w:style w:type="paragraph" w:styleId="BlockText">
    <w:name w:val="Block Text"/>
    <w:basedOn w:val="Normal"/>
    <w:rsid w:val="00C43948"/>
    <w:pPr>
      <w:spacing w:after="120"/>
      <w:ind w:left="1440" w:right="1440"/>
    </w:pPr>
  </w:style>
  <w:style w:type="character" w:customStyle="1" w:styleId="Subscript">
    <w:name w:val="Subscript"/>
    <w:basedOn w:val="DefaultParagraphFont"/>
    <w:rsid w:val="00C43948"/>
    <w:rPr>
      <w:sz w:val="16"/>
      <w:vertAlign w:val="subscript"/>
    </w:rPr>
  </w:style>
  <w:style w:type="character" w:customStyle="1" w:styleId="Superscript">
    <w:name w:val="Superscript"/>
    <w:basedOn w:val="DefaultParagraphFont"/>
    <w:rsid w:val="00C43948"/>
    <w:rPr>
      <w:sz w:val="16"/>
      <w:vertAlign w:val="superscript"/>
    </w:rPr>
  </w:style>
  <w:style w:type="character" w:customStyle="1" w:styleId="Symbols">
    <w:name w:val="Symbols"/>
    <w:basedOn w:val="DefaultParagraphFont"/>
    <w:rsid w:val="00C43948"/>
    <w:rPr>
      <w:rFonts w:ascii="Symbol" w:hAnsi="Symbol"/>
    </w:rPr>
  </w:style>
  <w:style w:type="character" w:customStyle="1" w:styleId="MenuOptions">
    <w:name w:val="Menu Options"/>
    <w:basedOn w:val="DefaultParagraphFont"/>
    <w:rsid w:val="00C43948"/>
    <w:rPr>
      <w:rFonts w:ascii="Arial Narrow" w:hAnsi="Arial Narrow"/>
      <w:smallCaps/>
    </w:rPr>
  </w:style>
  <w:style w:type="character" w:customStyle="1" w:styleId="Buttons">
    <w:name w:val="Buttons"/>
    <w:basedOn w:val="DefaultParagraphFont"/>
    <w:rsid w:val="00C43948"/>
    <w:rPr>
      <w:b/>
    </w:rPr>
  </w:style>
  <w:style w:type="character" w:customStyle="1" w:styleId="Underlined">
    <w:name w:val="Underlined"/>
    <w:basedOn w:val="DefaultParagraphFont"/>
    <w:rsid w:val="00C43948"/>
    <w:rPr>
      <w:u w:val="single"/>
    </w:rPr>
  </w:style>
  <w:style w:type="paragraph" w:customStyle="1" w:styleId="TableBodyTextRight">
    <w:name w:val="Table Body Text Right"/>
    <w:basedOn w:val="TableBodyText"/>
    <w:rsid w:val="00C43948"/>
    <w:pPr>
      <w:widowControl w:val="0"/>
      <w:autoSpaceDE w:val="0"/>
      <w:autoSpaceDN w:val="0"/>
      <w:adjustRightInd w:val="0"/>
      <w:jc w:val="right"/>
    </w:pPr>
    <w:rPr>
      <w:rFonts w:cs="Arial"/>
      <w:szCs w:val="18"/>
    </w:rPr>
  </w:style>
  <w:style w:type="paragraph" w:customStyle="1" w:styleId="CopyrightText">
    <w:name w:val="Copyright Text"/>
    <w:basedOn w:val="BodyText"/>
    <w:rsid w:val="00C43948"/>
    <w:rPr>
      <w:sz w:val="18"/>
    </w:rPr>
  </w:style>
  <w:style w:type="paragraph" w:customStyle="1" w:styleId="BodySmallRight">
    <w:name w:val="Body Small Right"/>
    <w:basedOn w:val="BodyTextRight"/>
    <w:rsid w:val="00C43948"/>
    <w:rPr>
      <w:sz w:val="18"/>
      <w:szCs w:val="18"/>
    </w:rPr>
  </w:style>
  <w:style w:type="paragraph" w:customStyle="1" w:styleId="MarginEdition">
    <w:name w:val="Margin Edition"/>
    <w:basedOn w:val="MarginNote"/>
    <w:rsid w:val="00C43948"/>
    <w:pPr>
      <w:spacing w:before="0" w:after="0"/>
    </w:pPr>
    <w:rPr>
      <w:rFonts w:ascii="Times New Roman" w:hAnsi="Times New Roman"/>
      <w:color w:val="999999"/>
    </w:rPr>
  </w:style>
  <w:style w:type="paragraph" w:customStyle="1" w:styleId="Spacer">
    <w:name w:val="Spacer"/>
    <w:basedOn w:val="Normal"/>
    <w:rsid w:val="00C43948"/>
    <w:rPr>
      <w:sz w:val="2"/>
      <w:szCs w:val="2"/>
    </w:rPr>
  </w:style>
  <w:style w:type="character" w:customStyle="1" w:styleId="Small">
    <w:name w:val="Small"/>
    <w:basedOn w:val="DefaultParagraphFont"/>
    <w:rsid w:val="00C43948"/>
    <w:rPr>
      <w:sz w:val="16"/>
    </w:rPr>
  </w:style>
  <w:style w:type="paragraph" w:customStyle="1" w:styleId="WideTable">
    <w:name w:val="Wide Table"/>
    <w:basedOn w:val="Normal"/>
    <w:rsid w:val="00C43948"/>
    <w:pPr>
      <w:ind w:left="-1418"/>
    </w:pPr>
    <w:rPr>
      <w:sz w:val="2"/>
      <w:szCs w:val="2"/>
    </w:rPr>
  </w:style>
  <w:style w:type="character" w:styleId="PageNumber">
    <w:name w:val="page number"/>
    <w:basedOn w:val="DefaultParagraphFont"/>
    <w:rsid w:val="00C43948"/>
  </w:style>
  <w:style w:type="paragraph" w:styleId="Quote">
    <w:name w:val="Quote"/>
    <w:basedOn w:val="Heading1"/>
    <w:link w:val="QuoteChar"/>
    <w:qFormat/>
    <w:rsid w:val="00C43948"/>
    <w:rPr>
      <w:b w:val="0"/>
      <w:sz w:val="72"/>
      <w:szCs w:val="72"/>
      <w:lang w:val="en-NZ"/>
    </w:rPr>
  </w:style>
  <w:style w:type="character" w:customStyle="1" w:styleId="QuoteChar">
    <w:name w:val="Quote Char"/>
    <w:basedOn w:val="DefaultParagraphFont"/>
    <w:link w:val="Quote"/>
    <w:rsid w:val="00C43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948"/>
    <w:pPr>
      <w:pageBreakBefore/>
    </w:pPr>
  </w:style>
  <w:style w:type="paragraph" w:customStyle="1" w:styleId="Border">
    <w:name w:val="Border"/>
    <w:basedOn w:val="Normal"/>
    <w:qFormat/>
    <w:rsid w:val="00C43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948"/>
    <w:rPr>
      <w:b/>
      <w:bCs/>
      <w:i/>
      <w:iCs/>
      <w:color w:val="auto"/>
    </w:rPr>
  </w:style>
  <w:style w:type="paragraph" w:styleId="IntenseQuote">
    <w:name w:val="Intense Quote"/>
    <w:basedOn w:val="Normal"/>
    <w:next w:val="Normal"/>
    <w:link w:val="IntenseQuoteChar"/>
    <w:uiPriority w:val="30"/>
    <w:qFormat/>
    <w:rsid w:val="00C43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9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948"/>
    <w:rPr>
      <w:smallCaps/>
      <w:color w:val="auto"/>
      <w:u w:val="single"/>
    </w:rPr>
  </w:style>
  <w:style w:type="character" w:styleId="IntenseReference">
    <w:name w:val="Intense Reference"/>
    <w:basedOn w:val="DefaultParagraphFont"/>
    <w:uiPriority w:val="32"/>
    <w:qFormat/>
    <w:rsid w:val="00C43948"/>
    <w:rPr>
      <w:b/>
      <w:bCs/>
      <w:smallCaps/>
      <w:color w:val="auto"/>
      <w:spacing w:val="5"/>
      <w:u w:val="single"/>
    </w:rPr>
  </w:style>
  <w:style w:type="paragraph" w:customStyle="1" w:styleId="2ColumnHeading">
    <w:name w:val="2Column Heading"/>
    <w:basedOn w:val="BodyText"/>
    <w:qFormat/>
    <w:rsid w:val="00C43948"/>
    <w:pPr>
      <w:spacing w:after="60"/>
      <w:ind w:left="-2268"/>
    </w:pPr>
    <w:rPr>
      <w:b/>
    </w:rPr>
  </w:style>
  <w:style w:type="paragraph" w:customStyle="1" w:styleId="Heading1TOC">
    <w:name w:val="Heading1 TOC"/>
    <w:basedOn w:val="Normal"/>
    <w:qFormat/>
    <w:rsid w:val="00C43948"/>
    <w:pPr>
      <w:spacing w:before="240" w:after="120"/>
    </w:pPr>
    <w:rPr>
      <w:rFonts w:ascii="Times New Roman" w:hAnsi="Times New Roman"/>
      <w:b/>
      <w:sz w:val="32"/>
    </w:rPr>
  </w:style>
  <w:style w:type="paragraph" w:customStyle="1" w:styleId="Heading2TOC">
    <w:name w:val="Heading2 TOC"/>
    <w:basedOn w:val="Normal"/>
    <w:qFormat/>
    <w:rsid w:val="00C43948"/>
    <w:pPr>
      <w:spacing w:before="240" w:after="60"/>
    </w:pPr>
    <w:rPr>
      <w:rFonts w:ascii="Times New Roman" w:hAnsi="Times New Roman"/>
      <w:b/>
      <w:sz w:val="28"/>
    </w:rPr>
  </w:style>
  <w:style w:type="character" w:customStyle="1" w:styleId="Underline">
    <w:name w:val="Underline"/>
    <w:basedOn w:val="DefaultParagraphFont"/>
    <w:qFormat/>
    <w:rsid w:val="00C43948"/>
    <w:rPr>
      <w:u w:val="single"/>
    </w:rPr>
  </w:style>
  <w:style w:type="character" w:customStyle="1" w:styleId="BoldandItalics">
    <w:name w:val="Bold and Italics"/>
    <w:qFormat/>
    <w:rsid w:val="00C43948"/>
    <w:rPr>
      <w:b/>
      <w:i/>
      <w:u w:val="none"/>
    </w:rPr>
  </w:style>
  <w:style w:type="paragraph" w:styleId="BalloonText">
    <w:name w:val="Balloon Text"/>
    <w:basedOn w:val="Normal"/>
    <w:link w:val="BalloonTextChar"/>
    <w:rsid w:val="00C43948"/>
    <w:rPr>
      <w:rFonts w:ascii="Tahoma" w:hAnsi="Tahoma" w:cs="Tahoma"/>
      <w:sz w:val="16"/>
      <w:szCs w:val="16"/>
    </w:rPr>
  </w:style>
  <w:style w:type="character" w:customStyle="1" w:styleId="BalloonTextChar">
    <w:name w:val="Balloon Text Char"/>
    <w:basedOn w:val="DefaultParagraphFont"/>
    <w:link w:val="BalloonText"/>
    <w:rsid w:val="00C439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9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9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948"/>
    <w:rPr>
      <w:b/>
      <w:color w:val="660033"/>
      <w:spacing w:val="0"/>
    </w:rPr>
  </w:style>
  <w:style w:type="paragraph" w:customStyle="1" w:styleId="Nameditemlist">
    <w:name w:val="Named item list"/>
    <w:basedOn w:val="BodyText"/>
    <w:qFormat/>
    <w:rsid w:val="00C43948"/>
    <w:pPr>
      <w:tabs>
        <w:tab w:val="left" w:pos="2835"/>
      </w:tabs>
      <w:ind w:left="2835" w:hanging="2835"/>
    </w:pPr>
  </w:style>
  <w:style w:type="paragraph" w:customStyle="1" w:styleId="BodyTextnopadding">
    <w:name w:val="Body Text no padding"/>
    <w:basedOn w:val="BodyText"/>
    <w:qFormat/>
    <w:rsid w:val="00C43948"/>
    <w:pPr>
      <w:spacing w:before="0" w:after="0"/>
    </w:pPr>
  </w:style>
  <w:style w:type="paragraph" w:customStyle="1" w:styleId="BodyTextBold">
    <w:name w:val="Body Text Bold"/>
    <w:basedOn w:val="BodyText"/>
    <w:qFormat/>
    <w:rsid w:val="00C43948"/>
    <w:rPr>
      <w:b/>
    </w:rPr>
  </w:style>
  <w:style w:type="character" w:styleId="Hyperlink">
    <w:name w:val="Hyperlink"/>
    <w:basedOn w:val="DefaultParagraphFont"/>
    <w:uiPriority w:val="99"/>
    <w:unhideWhenUsed/>
    <w:rsid w:val="001653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1174</Words>
  <Characters>6739</Characters>
  <Application>Microsoft Office Word</Application>
  <DocSecurity>0</DocSecurity>
  <Lines>293</Lines>
  <Paragraphs>136</Paragraphs>
  <ScaleCrop>false</ScaleCrop>
  <Company>Author-it Software Corporation Ltd.</Company>
  <LinksUpToDate>false</LinksUpToDate>
  <CharactersWithSpaces>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TLILIC0008 Licence to operate a non-slewing mobile crane (greater than 3 tonnes capacity)</dc:title>
  <dc:subject>Approved</dc:subject>
  <dc:creator>Industry Skills Australia</dc:creator>
  <cp:keywords>Release: 2</cp:keywords>
  <dc:description>Review Date: 12 April 2008</dc:description>
  <cp:lastModifiedBy>HSD_TPCMSd.prod</cp:lastModifiedBy>
  <cp:revision>3</cp:revision>
  <dcterms:created xsi:type="dcterms:W3CDTF">2024-12-24T01:15:00Z</dcterms:created>
  <dcterms:modified xsi:type="dcterms:W3CDTF">2024-12-24T01:15:00Z</dcterms:modified>
</cp:coreProperties>
</file>