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6522" w:rsidP="003B65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TLILIC0005 Licence to operate a boom-type elevating work platform (boom length 11 metres or more)</w:t>
      </w:r>
      <w:r>
        <w:fldChar w:fldCharType="end"/>
      </w:r>
    </w:p>
    <w:p w:rsidR="003B6522" w:rsidP="003B6522">
      <w:pPr>
        <w:pStyle w:val="Version"/>
        <w:sectPr w:rsidSect="00721B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21BA6" w:rsidP="00721BA6">
      <w:pPr>
        <w:pStyle w:val="SuperHeading"/>
      </w:pPr>
      <w:r w:rsidRPr="00721BA6">
        <w:t>TLILIC0005 Licence to operate a boom-type elevating work platform (boom length 11 metres or more)</w:t>
      </w:r>
    </w:p>
    <w:p w:rsidR="00000000" w:rsidRPr="00721BA6" w:rsidP="00721BA6">
      <w:pPr>
        <w:pStyle w:val="Heading1"/>
      </w:pPr>
      <w:bookmarkStart w:id="1" w:name="O_1063162"/>
      <w:bookmarkEnd w:id="1"/>
      <w:r w:rsidRPr="00721B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1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 w:rsidP="00721BA6">
            <w:pPr>
              <w:pStyle w:val="BodyText"/>
            </w:pPr>
            <w:r w:rsidRPr="00721BA6">
              <w:t>Release 2. This is the second release of this unit of competency in the TLI Transport and Logistics Training Package:</w:t>
            </w:r>
          </w:p>
          <w:p w:rsidR="00000000" w:rsidRPr="00721BA6" w:rsidP="00721BA6">
            <w:pPr>
              <w:pStyle w:val="ListBullet"/>
            </w:pPr>
            <w:r w:rsidRPr="00721BA6">
              <w:t>Minor statement changes in unit Application</w:t>
            </w:r>
          </w:p>
          <w:p w:rsidR="00000000" w:rsidRPr="00721BA6" w:rsidP="00721BA6">
            <w:pPr>
              <w:pStyle w:val="ListBullet"/>
            </w:pPr>
            <w:r w:rsidRPr="00721BA6">
              <w:t>Minor changes and re-ordering of Performance Evidence</w:t>
            </w:r>
          </w:p>
          <w:p w:rsidR="00000000" w:rsidRPr="00721BA6" w:rsidP="00721BA6">
            <w:pPr>
              <w:pStyle w:val="ListBullet"/>
            </w:pPr>
            <w:r w:rsidRPr="00721BA6">
              <w:t>Minor re-ordering of Knowledge Evidence</w:t>
            </w:r>
          </w:p>
          <w:p w:rsidR="00000000" w:rsidP="00721BA6">
            <w:pPr>
              <w:pStyle w:val="ListBullet"/>
              <w:rPr>
                <w:lang w:val="en-NZ"/>
              </w:rPr>
            </w:pPr>
            <w:r w:rsidRPr="00721BA6">
              <w:t>Minor statement changes in Assessment Conditions.</w:t>
            </w:r>
          </w:p>
        </w:tc>
      </w:tr>
      <w:tr w:rsidTr="00721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 w:rsidP="00721BA6">
            <w:pPr>
              <w:pStyle w:val="BodyText"/>
            </w:pPr>
            <w:r w:rsidRPr="00721BA6">
              <w:t>Release 1. This is the first release of this unit of competency in</w:t>
            </w:r>
            <w:r w:rsidRPr="00721BA6">
              <w:t xml:space="preserve"> the TLI Transport and Logistics Training Package.  </w:t>
            </w:r>
          </w:p>
        </w:tc>
      </w:tr>
    </w:tbl>
    <w:p w:rsidR="00000000" w:rsidRPr="00721BA6" w:rsidP="00721BA6">
      <w:pPr>
        <w:pStyle w:val="NoPaddingFontSize1"/>
      </w:pPr>
    </w:p>
    <w:p w:rsidR="00000000" w:rsidRPr="00721BA6" w:rsidP="00721BA6">
      <w:pPr>
        <w:pStyle w:val="AllowPageBreak"/>
      </w:pPr>
    </w:p>
    <w:p w:rsidR="00000000" w:rsidRPr="00721BA6" w:rsidP="00721BA6">
      <w:pPr>
        <w:pStyle w:val="Heading1"/>
      </w:pPr>
      <w:bookmarkStart w:id="2" w:name="O_1063161"/>
      <w:bookmarkEnd w:id="2"/>
      <w:r w:rsidRPr="00721BA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1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 w:rsidP="00721BA6">
            <w:pPr>
              <w:pStyle w:val="BodyText"/>
            </w:pPr>
            <w:r w:rsidRPr="00721BA6">
              <w:t>This unit specifies the skills and knowledge required to safely operate a boom-type Elevating Work Platform (EWP) where the length of the boom is 11 metres or more in acc</w:t>
            </w:r>
            <w:r w:rsidRPr="00721BA6">
              <w:t>ordance with all relevant legislative requirements. Competence in this unit, does not in itself result in a Risk Work Licence (HRWL) to operate this plant.</w:t>
            </w:r>
          </w:p>
          <w:p w:rsidR="00000000" w:rsidRPr="00721BA6" w:rsidP="00721BA6">
            <w:pPr>
              <w:pStyle w:val="BodyText"/>
            </w:pPr>
            <w:r w:rsidRPr="00721BA6">
              <w:t>Boom-type elevating work platform means a telescoping device, hinged device, or articulated device, or any combination of these, used to support a platform on which personnel, equipment and materials may be elevated.</w:t>
            </w:r>
          </w:p>
          <w:p w:rsidR="00000000" w:rsidRPr="00721BA6" w:rsidP="00721BA6">
            <w:pPr>
              <w:pStyle w:val="BodyText"/>
            </w:pPr>
            <w:r w:rsidRPr="00721BA6">
              <w:t>A person performing this work is requir</w:t>
            </w:r>
            <w:r w:rsidRPr="00721BA6">
              <w:t>ed to hold a boom-type elevating work platform HRWL.</w:t>
            </w:r>
          </w:p>
          <w:p w:rsidR="00000000" w:rsidRPr="00721BA6" w:rsidP="00721BA6">
            <w:pPr>
              <w:pStyle w:val="BodyText"/>
            </w:pPr>
            <w:r w:rsidRPr="00721BA6">
              <w:t>This unit requires a person operating an EWP to:</w:t>
            </w:r>
          </w:p>
          <w:p w:rsidR="00000000" w:rsidRPr="00721BA6" w:rsidP="00721BA6">
            <w:pPr>
              <w:pStyle w:val="ListBullet"/>
            </w:pPr>
            <w:r w:rsidRPr="00721BA6">
              <w:t>plan for the work/task</w:t>
            </w:r>
          </w:p>
          <w:p w:rsidR="00000000" w:rsidRPr="00721BA6" w:rsidP="00721BA6">
            <w:pPr>
              <w:pStyle w:val="ListBullet"/>
            </w:pPr>
            <w:r w:rsidRPr="00721BA6">
              <w:t>prepare for the work/task</w:t>
            </w:r>
          </w:p>
          <w:p w:rsidR="00000000" w:rsidRPr="00721BA6" w:rsidP="00721BA6">
            <w:pPr>
              <w:pStyle w:val="ListBullet"/>
            </w:pPr>
            <w:r w:rsidRPr="00721BA6">
              <w:t xml:space="preserve">perform work/task </w:t>
            </w:r>
          </w:p>
          <w:p w:rsidR="00000000" w:rsidRPr="00721BA6" w:rsidP="00721BA6">
            <w:pPr>
              <w:pStyle w:val="ListBullet"/>
            </w:pPr>
            <w:r w:rsidRPr="00721BA6">
              <w:t>pack up.</w:t>
            </w:r>
          </w:p>
          <w:p w:rsidR="00000000" w:rsidRPr="00721BA6" w:rsidP="00721BA6">
            <w:pPr>
              <w:pStyle w:val="Heading1"/>
            </w:pPr>
            <w:r w:rsidRPr="00721BA6">
              <w:t>Licensing/Regulatory Information</w:t>
            </w:r>
          </w:p>
          <w:p w:rsidR="00000000" w:rsidRPr="00721BA6" w:rsidP="00721BA6">
            <w:pPr>
              <w:pStyle w:val="BodyText"/>
            </w:pPr>
            <w:r w:rsidRPr="00721BA6">
              <w:t>Legislative and regulatory requirements are</w:t>
            </w:r>
            <w:r w:rsidRPr="00721BA6">
              <w:t xml:space="preserve"> applicable to this unit of competency. </w:t>
            </w:r>
          </w:p>
          <w:p w:rsidR="00000000" w:rsidRPr="00721BA6" w:rsidP="00721BA6">
            <w:pPr>
              <w:pStyle w:val="BodyText"/>
            </w:pPr>
            <w:r w:rsidRPr="00721BA6">
              <w:t xml:space="preserve">This unit is based on the licensing requirements of Part 4.5 of the Model Work Health and Safety (WHS) Regulations and meets Commonwealth, State and Territory HRWL requirements. </w:t>
            </w:r>
          </w:p>
          <w:p w:rsidR="00000000" w:rsidRPr="00721BA6" w:rsidP="00721BA6">
            <w:pPr>
              <w:pStyle w:val="BodyText"/>
            </w:pPr>
            <w:r w:rsidRPr="00721BA6">
              <w:t>The National Assessment Instrument (</w:t>
            </w:r>
            <w:r w:rsidRPr="00721BA6">
              <w:t xml:space="preserve">NAI) is the mandated assessment for the HRWL to operate the relevant licencing class as detailed in this unit.  </w:t>
            </w:r>
          </w:p>
        </w:tc>
      </w:tr>
    </w:tbl>
    <w:p w:rsidR="00000000" w:rsidRPr="00721BA6" w:rsidP="00721BA6">
      <w:pPr>
        <w:pStyle w:val="NoPaddingFontSize1"/>
      </w:pPr>
    </w:p>
    <w:p w:rsidR="00000000" w:rsidRPr="00721BA6" w:rsidP="00721BA6">
      <w:pPr>
        <w:pStyle w:val="AllowPageBreak"/>
      </w:pPr>
    </w:p>
    <w:p w:rsidR="00000000" w:rsidRPr="00721BA6" w:rsidP="00721BA6">
      <w:pPr>
        <w:pStyle w:val="Heading1"/>
      </w:pPr>
      <w:bookmarkStart w:id="3" w:name="O_1063160"/>
      <w:bookmarkEnd w:id="3"/>
      <w:r w:rsidRPr="00721BA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1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 w:rsidP="00721BA6">
            <w:pPr>
              <w:pStyle w:val="BodyText"/>
            </w:pPr>
            <w:r w:rsidRPr="00721BA6">
              <w:t>Not applicable</w:t>
            </w:r>
          </w:p>
        </w:tc>
      </w:tr>
    </w:tbl>
    <w:p w:rsidR="00000000" w:rsidRPr="00721BA6" w:rsidP="00721BA6">
      <w:pPr>
        <w:pStyle w:val="NoPaddingFontSize1"/>
      </w:pPr>
    </w:p>
    <w:p w:rsidR="00000000" w:rsidRPr="00721BA6" w:rsidP="00721BA6">
      <w:pPr>
        <w:pStyle w:val="AllowPageBreak"/>
      </w:pPr>
    </w:p>
    <w:p w:rsidR="00000000" w:rsidRPr="00721BA6" w:rsidP="00721BA6">
      <w:pPr>
        <w:pStyle w:val="Heading1"/>
      </w:pPr>
      <w:bookmarkStart w:id="4" w:name="O_1063159"/>
      <w:bookmarkEnd w:id="4"/>
      <w:r w:rsidRPr="00721BA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1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 w:rsidP="00721BA6">
            <w:pPr>
              <w:pStyle w:val="BodyText"/>
            </w:pPr>
            <w:r w:rsidRPr="00721BA6">
              <w:t>LIC - Licencing Units</w:t>
            </w:r>
          </w:p>
        </w:tc>
      </w:tr>
    </w:tbl>
    <w:p w:rsidR="00000000" w:rsidRPr="00721BA6" w:rsidP="00721BA6">
      <w:pPr>
        <w:pStyle w:val="NoPaddingFontSize1"/>
      </w:pPr>
    </w:p>
    <w:p w:rsidR="00000000" w:rsidRPr="00721BA6" w:rsidP="00721BA6">
      <w:pPr>
        <w:pStyle w:val="AllowPageBreak"/>
      </w:pPr>
    </w:p>
    <w:p w:rsidR="00000000" w:rsidRPr="00721BA6" w:rsidP="00721BA6">
      <w:pPr>
        <w:pStyle w:val="Heading1"/>
      </w:pPr>
      <w:bookmarkStart w:id="5" w:name="O_1063158"/>
      <w:bookmarkEnd w:id="5"/>
      <w:r w:rsidRPr="00721BA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1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 w:rsidP="00721BA6">
            <w:pPr>
              <w:pStyle w:val="BodyText"/>
            </w:pPr>
            <w:r w:rsidRPr="00721BA6">
              <w:t>Not applicable</w:t>
            </w:r>
          </w:p>
        </w:tc>
      </w:tr>
    </w:tbl>
    <w:p w:rsidR="00000000" w:rsidRPr="00721BA6" w:rsidP="00721BA6">
      <w:pPr>
        <w:pStyle w:val="NoPaddingFontSize1"/>
      </w:pPr>
    </w:p>
    <w:p w:rsidR="00000000" w:rsidRPr="00721BA6" w:rsidP="00721BA6">
      <w:pPr>
        <w:pStyle w:val="AllowPageBreak"/>
      </w:pPr>
    </w:p>
    <w:p w:rsidR="00000000" w:rsidRPr="00721BA6" w:rsidP="00721BA6">
      <w:pPr>
        <w:pStyle w:val="Heading1"/>
      </w:pPr>
      <w:bookmarkStart w:id="6" w:name="O_1063157"/>
      <w:bookmarkEnd w:id="6"/>
      <w:r w:rsidRPr="00721BA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 w:rsidP="00721BA6">
            <w:pPr>
              <w:pStyle w:val="BodyText"/>
            </w:pPr>
            <w:r w:rsidRPr="00721BA6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PERFORMANCE CRITERIA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Elements describe the essential 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Performance criteria describe the performance needed to demonstrate achievement of the element.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 w:rsidP="00721BA6">
            <w:pPr>
              <w:pStyle w:val="BodyText"/>
            </w:pPr>
            <w:r w:rsidRPr="00721BA6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 w:rsidP="00721BA6">
            <w:pPr>
              <w:pStyle w:val="BodyText"/>
            </w:pPr>
            <w:r w:rsidRPr="00721BA6">
              <w:rPr>
                <w:rStyle w:val="SpecialBold"/>
              </w:rPr>
              <w:t>Plan work/task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1.1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Task requirements are identified from work orders or equivalent and confirmed with relevant people and a site inspection is completed in accordance with workplace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1.2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Work area ground/operating surface is assessed to dete</w:t>
            </w:r>
            <w:r w:rsidRPr="00721BA6">
              <w:t>rmine suitability for operational use of EWP in accordance with manufacturer requirements and workplace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1.3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EWP capabilities are es</w:t>
            </w:r>
            <w:r w:rsidRPr="00721BA6">
              <w:t>tablished for the load/s and work/task requirements in accordance with manufacturer requirements and workplace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1.4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Appropriate paths for operating the EWP and moving in work area are assessed and determined in accordance with workplace proced</w:t>
            </w:r>
            <w:r w:rsidRPr="00721BA6">
              <w:t xml:space="preserve">ures 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1.5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Relevant hazard and risk control measures are applied and advised to relevant person/s in accordance with workplace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1.6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 xml:space="preserve">Traffic management plan implementation is confirmed in accordance with workplace procedures 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1.7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Appropriate communication procedures are identified, with relevant people in accordance with workplace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1.8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 xml:space="preserve">All work is confirmed to ensure coverage of work/task requirements for the relevant work area in accordance with workplace procedures 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 w:rsidP="00721BA6">
            <w:pPr>
              <w:pStyle w:val="BodyText"/>
            </w:pPr>
            <w:r w:rsidRPr="00721BA6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 w:rsidP="00721BA6">
            <w:pPr>
              <w:pStyle w:val="BodyText"/>
            </w:pPr>
            <w:r w:rsidRPr="00721BA6">
              <w:rPr>
                <w:rStyle w:val="SpecialBold"/>
              </w:rPr>
              <w:t>Prepare for work/task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2.1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Consultation with workplace person/s is maintained to ensure workplan is clear and consistent with site requirements in accordance with workplace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2.2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Risk control measures for hazards identified are checked for implementation in accordance with workplace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2.3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Safety equipment including Personal Protective Equipmen</w:t>
            </w:r>
            <w:r w:rsidRPr="00721BA6">
              <w:t>t (PPE) are inspected, fitted correctly and used in accordance with manufacturer requirements and safe work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2.4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 xml:space="preserve">EWP is accessed in a safe manner in accordance with manufacturer requirements and safe work procedures 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2.5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Pre-start EWP check</w:t>
            </w:r>
            <w:r w:rsidRPr="00721BA6">
              <w:t>s are carried out in accordance with manufacturers requirements and safe work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2.6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EWP is started and is checked for any abnormal noises in accordance safe work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2.7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EWP is posit</w:t>
            </w:r>
            <w:r w:rsidRPr="00721BA6">
              <w:t>ioned correctly as per work plan in work area in accordance with relevant manufacturer requirements and safe work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2.8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EWP is stabilised appropriately in accordance with the workplan, relevant manufacturer requirements and safe work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2.9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Operational checks from base controls are carried out in accordance with relevant manufacturer requirements and safe work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2.10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 xml:space="preserve">All platform controls are located, identified and tested in accordance with manufacturer requirements and safe work procedures 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2.11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All damage and defects are reported and appropriate action is taken to rectify in accordance with manufacturer requireme</w:t>
            </w:r>
            <w:r w:rsidRPr="00721BA6">
              <w:t>nts and safe work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2.12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EWP logbook is inspected and is correct for the EWP, is completed and signed in accordance with manufacturer requirements and safe work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2.13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Weather and work environmental conditions are assessed to determ</w:t>
            </w:r>
            <w:r w:rsidRPr="00721BA6">
              <w:t>ine any impact on EWP operation and positioning as per workplan in accordance with manufacturer requirements and safe work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 w:rsidP="00721BA6">
            <w:pPr>
              <w:pStyle w:val="BodyText"/>
            </w:pPr>
            <w:r w:rsidRPr="00721BA6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 w:rsidP="00721BA6">
            <w:pPr>
              <w:pStyle w:val="BodyText"/>
            </w:pPr>
            <w:r w:rsidRPr="00721BA6">
              <w:rPr>
                <w:rStyle w:val="SpecialBold"/>
              </w:rPr>
              <w:t xml:space="preserve">Perform work/task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3.1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Relevant hazard prevention/control measures identified are checked for implementation in accordance with safe work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3.2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EWP is safely located at point of work in work area in accordance with safe work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3.3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EWP platform is position</w:t>
            </w:r>
            <w:r w:rsidRPr="00721BA6">
              <w:t>ed for work tasks and stability and all operations are monitored constantly in accordance with safe work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3.4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Work gear and tools are stowed and secured in accordance with safe work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3.5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EWP is operated using all movements in accordance with safe work procedures and manufacturer requirements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3.6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Unplanned and unsafe situations are responded to in accordance with safe work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3.7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All communication signals are correctly interpreted and followed whilst EWP is operated in accordance with safe work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3.8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EWP platform is accessed and egressed in accordance with safe work procedures and manufacturer requirements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 w:rsidP="00721BA6">
            <w:pPr>
              <w:pStyle w:val="BodyText"/>
            </w:pPr>
            <w:r w:rsidRPr="00721BA6">
              <w:rPr>
                <w:rStyle w:val="SpecialBold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 w:rsidP="00721BA6">
            <w:pPr>
              <w:pStyle w:val="BodyText"/>
            </w:pPr>
            <w:r w:rsidRPr="00721BA6">
              <w:rPr>
                <w:rStyle w:val="SpecialBold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3.9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 xml:space="preserve">EWP </w:t>
            </w:r>
            <w:r w:rsidRPr="00721BA6">
              <w:t>is parked, switched off and isolated appropriately in accordance with manufacturer requirements and safe work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 w:rsidP="00721BA6">
            <w:pPr>
              <w:pStyle w:val="BodyText"/>
            </w:pPr>
            <w:r w:rsidRPr="00721BA6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 w:rsidP="00721BA6">
            <w:pPr>
              <w:pStyle w:val="BodyText"/>
            </w:pPr>
            <w:r w:rsidRPr="00721BA6">
              <w:rPr>
                <w:rStyle w:val="SpecialBold"/>
              </w:rPr>
              <w:t xml:space="preserve">Pack up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4.1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Post-operational EWP checks are carried out in accordance with manufacturer requirements and safe work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4.2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 xml:space="preserve">EWP boom is retracted, lowered, stowed and secured in accordance with manufacturer requirements and safe work procedures 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4.3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Safety equipment and PPE is disconnected from platform in accordance with safe work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4.4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Relevant motion locks and brakes are applied as required in accordance with manufacturer requirements and safe work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4.5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t>Outriggers and/or stabilisers, plates or packing if fitted are stowed and secured in accordance and with manufacturer requ</w:t>
            </w:r>
            <w:r w:rsidRPr="00721BA6">
              <w:t>irements and safe work procedures</w:t>
            </w:r>
          </w:p>
        </w:tc>
      </w:tr>
      <w:tr w:rsidTr="00721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BA6">
            <w:pPr>
              <w:pStyle w:val="BodyText"/>
              <w:rPr>
                <w:lang w:val="en-NZ"/>
              </w:rPr>
            </w:pPr>
            <w:r w:rsidRPr="00721BA6">
              <w:rPr>
                <w:rStyle w:val="SpecialBold"/>
              </w:rPr>
              <w:t>4.6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 w:rsidP="00721BA6">
            <w:pPr>
              <w:pStyle w:val="BodyText"/>
            </w:pPr>
            <w:r w:rsidRPr="00721BA6">
              <w:t>EWP is shut down in accordance with manufacturer requirements and safe work procedures</w:t>
            </w:r>
          </w:p>
        </w:tc>
      </w:tr>
    </w:tbl>
    <w:p w:rsidR="00000000" w:rsidRPr="00721BA6" w:rsidP="00721BA6">
      <w:pPr>
        <w:pStyle w:val="NoPaddingFontSize1"/>
      </w:pPr>
    </w:p>
    <w:p w:rsidR="00000000" w:rsidRPr="00721BA6" w:rsidP="00721BA6">
      <w:pPr>
        <w:pStyle w:val="AllowPageBreak"/>
      </w:pPr>
    </w:p>
    <w:p w:rsidR="00000000" w:rsidRPr="00721BA6" w:rsidP="00721BA6">
      <w:pPr>
        <w:pStyle w:val="Heading1"/>
      </w:pPr>
      <w:bookmarkStart w:id="7" w:name="O_1063156"/>
      <w:bookmarkEnd w:id="7"/>
      <w:r w:rsidRPr="00721BA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1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 w:rsidP="00721BA6">
            <w:pPr>
              <w:pStyle w:val="BodyText"/>
            </w:pPr>
            <w:r w:rsidRPr="00721BA6">
              <w:t>Foundation skills essential to performance are explicit in the performance criteria of this unit of competency</w:t>
            </w:r>
          </w:p>
        </w:tc>
      </w:tr>
    </w:tbl>
    <w:p w:rsidR="00000000" w:rsidRPr="00721BA6" w:rsidP="00721BA6">
      <w:pPr>
        <w:pStyle w:val="NoPaddingFontSize1"/>
      </w:pPr>
    </w:p>
    <w:p w:rsidR="00000000" w:rsidRPr="00721BA6" w:rsidP="00721BA6">
      <w:pPr>
        <w:pStyle w:val="AllowPageBreak"/>
      </w:pPr>
    </w:p>
    <w:p w:rsidR="00000000" w:rsidRPr="00721BA6" w:rsidP="00721BA6">
      <w:pPr>
        <w:pStyle w:val="Heading1"/>
      </w:pPr>
      <w:bookmarkStart w:id="8" w:name="O_1063155"/>
      <w:bookmarkEnd w:id="8"/>
      <w:r w:rsidRPr="00721BA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1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 w:rsidP="00721BA6">
            <w:pPr>
              <w:pStyle w:val="BodyText"/>
            </w:pPr>
            <w:r w:rsidRPr="00721BA6">
              <w:t xml:space="preserve">Range is </w:t>
            </w:r>
            <w:r w:rsidRPr="00721BA6">
              <w:t>restricted to essential operating conditions and any other variables essential to the work environment.</w:t>
            </w:r>
          </w:p>
          <w:p w:rsidR="00000000" w:rsidRPr="00721BA6" w:rsidP="00721BA6">
            <w:pPr>
              <w:pStyle w:val="BodyText"/>
            </w:pPr>
            <w:r w:rsidRPr="00721BA6">
              <w:t>Non-essential conditions may be found in the Companion Volume Implementation Guide.</w:t>
            </w:r>
          </w:p>
        </w:tc>
      </w:tr>
    </w:tbl>
    <w:p w:rsidR="00000000" w:rsidRPr="00721BA6" w:rsidP="00721BA6">
      <w:pPr>
        <w:pStyle w:val="NoPaddingFontSize1"/>
      </w:pPr>
    </w:p>
    <w:p w:rsidR="00000000" w:rsidRPr="00721BA6" w:rsidP="00721BA6">
      <w:pPr>
        <w:pStyle w:val="AllowPageBreak"/>
      </w:pPr>
    </w:p>
    <w:p w:rsidR="00000000" w:rsidRPr="00721BA6" w:rsidP="00721BA6">
      <w:pPr>
        <w:pStyle w:val="Heading1"/>
      </w:pPr>
      <w:bookmarkStart w:id="9" w:name="O_1063154"/>
      <w:bookmarkEnd w:id="9"/>
      <w:r w:rsidRPr="00721BA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1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BA6" w:rsidP="00721BA6">
            <w:pPr>
              <w:pStyle w:val="BodyText"/>
            </w:pPr>
            <w:r w:rsidRPr="00721BA6">
              <w:t>This unit replaces and</w:t>
            </w:r>
            <w:r w:rsidRPr="00721BA6">
              <w:t xml:space="preserve"> is equivalent to TLILIC2005 Licence to operate a boom-type elevating work platform (boom length 11 metres or more)</w:t>
            </w:r>
          </w:p>
        </w:tc>
      </w:tr>
    </w:tbl>
    <w:p w:rsidR="00000000" w:rsidRPr="00721BA6" w:rsidP="00721BA6">
      <w:pPr>
        <w:pStyle w:val="NoPaddingFontSize1"/>
      </w:pPr>
    </w:p>
    <w:p w:rsidR="00000000" w:rsidRPr="00721BA6" w:rsidP="00721BA6">
      <w:pPr>
        <w:pStyle w:val="AllowPageBreak"/>
      </w:pPr>
    </w:p>
    <w:p w:rsidR="00000000" w:rsidRPr="00721BA6" w:rsidP="00721BA6">
      <w:pPr>
        <w:pStyle w:val="Heading1"/>
      </w:pPr>
      <w:bookmarkStart w:id="10" w:name="O_1063163"/>
      <w:bookmarkEnd w:id="10"/>
      <w:r w:rsidRPr="00721BA6">
        <w:t>Links</w:t>
      </w:r>
    </w:p>
    <w:p w:rsidR="00000000" w:rsidRPr="00721BA6" w:rsidP="003B6522">
      <w:pPr>
        <w:pStyle w:val="BodyText"/>
      </w:pPr>
      <w:r w:rsidRPr="00721BA6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957E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21BA6" w:rsidP="00721BA6"/>
    <w:sectPr w:rsidSect="00721B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B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BA6" w:rsidRPr="003B6522" w:rsidP="003B65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B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522" w:rsidP="00721B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B6522" w:rsidP="00721B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B6522" w:rsidP="00721B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B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5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BA6" w:rsidRPr="003B6522" w:rsidP="003B65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B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522" w:rsidRPr="002D2AF8" w:rsidP="00721B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TLILIC0005 Licence to operate a boom-type elevating work platform (boom length 11 metres or more)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B6522" w:rsidP="00721B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D0B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5869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B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B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B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B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B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B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B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B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B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B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B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BA6"/>
  </w:style>
  <w:style w:type="character" w:customStyle="1" w:styleId="Heading1Char">
    <w:name w:val="Heading 1 Char"/>
    <w:basedOn w:val="DefaultParagraphFont"/>
    <w:link w:val="Heading1"/>
    <w:rsid w:val="00721B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B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B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B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1BA6"/>
    <w:rPr>
      <w:b/>
      <w:spacing w:val="0"/>
    </w:rPr>
  </w:style>
  <w:style w:type="paragraph" w:customStyle="1" w:styleId="SuperHeading">
    <w:name w:val="SuperHeading"/>
    <w:basedOn w:val="Normal"/>
    <w:rsid w:val="00721B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B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21B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B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B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B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B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B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B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B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B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B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B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B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B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B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B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B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1B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B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B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1B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1B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B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B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B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B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B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B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B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B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1BA6"/>
    <w:rPr>
      <w:i/>
    </w:rPr>
  </w:style>
  <w:style w:type="paragraph" w:styleId="Caption">
    <w:name w:val="caption"/>
    <w:basedOn w:val="BodyText"/>
    <w:next w:val="Normal"/>
    <w:qFormat/>
    <w:rsid w:val="00721B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B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B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BA6"/>
  </w:style>
  <w:style w:type="paragraph" w:styleId="TableofFigures">
    <w:name w:val="table of figures"/>
    <w:basedOn w:val="Normal"/>
    <w:next w:val="Normal"/>
    <w:semiHidden/>
    <w:rsid w:val="00721B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B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1BA6"/>
    <w:rPr>
      <w:rFonts w:ascii="Wingdings" w:hAnsi="Wingdings"/>
    </w:rPr>
  </w:style>
  <w:style w:type="paragraph" w:customStyle="1" w:styleId="TableHeading">
    <w:name w:val="Table Heading"/>
    <w:basedOn w:val="HeadingBase"/>
    <w:rsid w:val="00721B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BA6"/>
    <w:rPr>
      <w:color w:val="0033CC"/>
      <w:u w:val="none"/>
    </w:rPr>
  </w:style>
  <w:style w:type="paragraph" w:customStyle="1" w:styleId="BodyTextRight">
    <w:name w:val="Body Text Right"/>
    <w:basedOn w:val="BodyText"/>
    <w:rsid w:val="00721B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B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B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B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B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B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BA6"/>
    <w:rPr>
      <w:sz w:val="32"/>
    </w:rPr>
  </w:style>
  <w:style w:type="paragraph" w:customStyle="1" w:styleId="HeadingProcedure">
    <w:name w:val="Heading Procedure"/>
    <w:basedOn w:val="HeadingBase"/>
    <w:next w:val="Normal"/>
    <w:rsid w:val="00721B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BA6"/>
    <w:pPr>
      <w:spacing w:before="60" w:after="60"/>
    </w:pPr>
  </w:style>
  <w:style w:type="paragraph" w:styleId="ListContinue">
    <w:name w:val="List Continue"/>
    <w:basedOn w:val="List"/>
    <w:rsid w:val="00721BA6"/>
    <w:pPr>
      <w:ind w:firstLine="0"/>
    </w:pPr>
  </w:style>
  <w:style w:type="paragraph" w:customStyle="1" w:styleId="ListNote">
    <w:name w:val="List Note"/>
    <w:basedOn w:val="List"/>
    <w:rsid w:val="00721B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B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B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BA6"/>
    <w:rPr>
      <w:rFonts w:ascii="Courier New" w:hAnsi="Courier New"/>
    </w:rPr>
  </w:style>
  <w:style w:type="paragraph" w:customStyle="1" w:styleId="NoteBullet">
    <w:name w:val="Note Bullet"/>
    <w:basedOn w:val="Note"/>
    <w:rsid w:val="00721B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B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B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B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B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1B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B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BA6"/>
    <w:rPr>
      <w:b/>
      <w:smallCaps/>
    </w:rPr>
  </w:style>
  <w:style w:type="paragraph" w:customStyle="1" w:styleId="TableListNumber">
    <w:name w:val="Table List Number"/>
    <w:basedOn w:val="ListNumber"/>
    <w:rsid w:val="00721B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B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BA6"/>
    <w:pPr>
      <w:numPr>
        <w:numId w:val="8"/>
      </w:numPr>
    </w:pPr>
  </w:style>
  <w:style w:type="paragraph" w:customStyle="1" w:styleId="ListAlpha2">
    <w:name w:val="List Alpha 2"/>
    <w:basedOn w:val="List2"/>
    <w:rsid w:val="00721BA6"/>
    <w:pPr>
      <w:numPr>
        <w:numId w:val="7"/>
      </w:numPr>
    </w:pPr>
  </w:style>
  <w:style w:type="paragraph" w:styleId="List2">
    <w:name w:val="List 2"/>
    <w:basedOn w:val="BodyText"/>
    <w:rsid w:val="00721B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B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B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B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B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B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1BA6"/>
    <w:pPr>
      <w:numPr>
        <w:numId w:val="3"/>
      </w:numPr>
    </w:pPr>
  </w:style>
  <w:style w:type="paragraph" w:styleId="ListContinue2">
    <w:name w:val="List Continue 2"/>
    <w:basedOn w:val="List2"/>
    <w:rsid w:val="00721BA6"/>
    <w:pPr>
      <w:ind w:firstLine="0"/>
    </w:pPr>
  </w:style>
  <w:style w:type="paragraph" w:styleId="ListContinue3">
    <w:name w:val="List Continue 3"/>
    <w:basedOn w:val="List3"/>
    <w:rsid w:val="00721BA6"/>
    <w:pPr>
      <w:ind w:left="1021" w:firstLine="0"/>
    </w:pPr>
  </w:style>
  <w:style w:type="paragraph" w:styleId="ListContinue4">
    <w:name w:val="List Continue 4"/>
    <w:basedOn w:val="List4"/>
    <w:rsid w:val="00721BA6"/>
    <w:pPr>
      <w:ind w:firstLine="0"/>
    </w:pPr>
  </w:style>
  <w:style w:type="paragraph" w:styleId="ListContinue5">
    <w:name w:val="List Continue 5"/>
    <w:basedOn w:val="List5"/>
    <w:rsid w:val="00721BA6"/>
    <w:pPr>
      <w:ind w:firstLine="0"/>
    </w:pPr>
  </w:style>
  <w:style w:type="paragraph" w:styleId="ListNumber3">
    <w:name w:val="List Number 3"/>
    <w:basedOn w:val="List3"/>
    <w:rsid w:val="00721BA6"/>
    <w:pPr>
      <w:numPr>
        <w:numId w:val="4"/>
      </w:numPr>
    </w:pPr>
  </w:style>
  <w:style w:type="paragraph" w:styleId="ListNumber4">
    <w:name w:val="List Number 4"/>
    <w:basedOn w:val="List4"/>
    <w:rsid w:val="00721BA6"/>
    <w:pPr>
      <w:numPr>
        <w:numId w:val="5"/>
      </w:numPr>
    </w:pPr>
  </w:style>
  <w:style w:type="paragraph" w:styleId="ListNumber5">
    <w:name w:val="List Number 5"/>
    <w:basedOn w:val="List5"/>
    <w:rsid w:val="00721BA6"/>
    <w:pPr>
      <w:numPr>
        <w:numId w:val="6"/>
      </w:numPr>
    </w:pPr>
  </w:style>
  <w:style w:type="paragraph" w:styleId="BlockText">
    <w:name w:val="Block Text"/>
    <w:basedOn w:val="Normal"/>
    <w:rsid w:val="00721B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B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BA6"/>
    <w:rPr>
      <w:sz w:val="16"/>
      <w:vertAlign w:val="superscript"/>
    </w:rPr>
  </w:style>
  <w:style w:type="character" w:customStyle="1" w:styleId="Symbols">
    <w:name w:val="Symbols"/>
    <w:basedOn w:val="DefaultParagraphFont"/>
    <w:rsid w:val="00721BA6"/>
    <w:rPr>
      <w:rFonts w:ascii="Symbol" w:hAnsi="Symbol"/>
    </w:rPr>
  </w:style>
  <w:style w:type="character" w:customStyle="1" w:styleId="MenuOptions">
    <w:name w:val="Menu Options"/>
    <w:basedOn w:val="DefaultParagraphFont"/>
    <w:rsid w:val="00721B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BA6"/>
    <w:rPr>
      <w:b/>
    </w:rPr>
  </w:style>
  <w:style w:type="character" w:customStyle="1" w:styleId="Underlined">
    <w:name w:val="Underlined"/>
    <w:basedOn w:val="DefaultParagraphFont"/>
    <w:rsid w:val="00721BA6"/>
    <w:rPr>
      <w:u w:val="single"/>
    </w:rPr>
  </w:style>
  <w:style w:type="paragraph" w:customStyle="1" w:styleId="TableBodyTextRight">
    <w:name w:val="Table Body Text Right"/>
    <w:basedOn w:val="TableBodyText"/>
    <w:rsid w:val="00721B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BA6"/>
    <w:rPr>
      <w:sz w:val="18"/>
    </w:rPr>
  </w:style>
  <w:style w:type="paragraph" w:customStyle="1" w:styleId="BodySmallRight">
    <w:name w:val="Body Small Right"/>
    <w:basedOn w:val="BodyTextRight"/>
    <w:rsid w:val="00721BA6"/>
    <w:rPr>
      <w:sz w:val="18"/>
      <w:szCs w:val="18"/>
    </w:rPr>
  </w:style>
  <w:style w:type="paragraph" w:customStyle="1" w:styleId="MarginEdition">
    <w:name w:val="Margin Edition"/>
    <w:basedOn w:val="MarginNote"/>
    <w:rsid w:val="00721B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BA6"/>
    <w:rPr>
      <w:sz w:val="2"/>
      <w:szCs w:val="2"/>
    </w:rPr>
  </w:style>
  <w:style w:type="character" w:customStyle="1" w:styleId="Small">
    <w:name w:val="Small"/>
    <w:basedOn w:val="DefaultParagraphFont"/>
    <w:rsid w:val="00721BA6"/>
    <w:rPr>
      <w:sz w:val="16"/>
    </w:rPr>
  </w:style>
  <w:style w:type="paragraph" w:customStyle="1" w:styleId="WideTable">
    <w:name w:val="Wide Table"/>
    <w:basedOn w:val="Normal"/>
    <w:rsid w:val="00721B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BA6"/>
  </w:style>
  <w:style w:type="paragraph" w:styleId="Quote">
    <w:name w:val="Quote"/>
    <w:basedOn w:val="Heading1"/>
    <w:link w:val="QuoteChar"/>
    <w:qFormat/>
    <w:rsid w:val="00721B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B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BA6"/>
    <w:pPr>
      <w:pageBreakBefore/>
    </w:pPr>
  </w:style>
  <w:style w:type="paragraph" w:customStyle="1" w:styleId="Border">
    <w:name w:val="Border"/>
    <w:basedOn w:val="Normal"/>
    <w:qFormat/>
    <w:rsid w:val="00721B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B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B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B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B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B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B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B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B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BA6"/>
    <w:rPr>
      <w:u w:val="single"/>
    </w:rPr>
  </w:style>
  <w:style w:type="character" w:customStyle="1" w:styleId="BoldandItalics">
    <w:name w:val="Bold and Italics"/>
    <w:qFormat/>
    <w:rsid w:val="00721BA6"/>
    <w:rPr>
      <w:b/>
      <w:i/>
      <w:u w:val="none"/>
    </w:rPr>
  </w:style>
  <w:style w:type="paragraph" w:styleId="BalloonText">
    <w:name w:val="Balloon Text"/>
    <w:basedOn w:val="Normal"/>
    <w:link w:val="BalloonTextChar"/>
    <w:rsid w:val="00721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B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B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B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B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B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BA6"/>
    <w:pPr>
      <w:spacing w:before="0" w:after="0"/>
    </w:pPr>
  </w:style>
  <w:style w:type="paragraph" w:customStyle="1" w:styleId="BodyTextBold">
    <w:name w:val="Body Text Bold"/>
    <w:basedOn w:val="BodyText"/>
    <w:qFormat/>
    <w:rsid w:val="00721BA6"/>
    <w:rPr>
      <w:b/>
    </w:rPr>
  </w:style>
  <w:style w:type="character" w:styleId="Hyperlink">
    <w:name w:val="Hyperlink"/>
    <w:basedOn w:val="DefaultParagraphFont"/>
    <w:uiPriority w:val="99"/>
    <w:unhideWhenUsed/>
    <w:rsid w:val="003B65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1136</Words>
  <Characters>6753</Characters>
  <Application>Microsoft Office Word</Application>
  <DocSecurity>0</DocSecurity>
  <Lines>306</Lines>
  <Paragraphs>148</Paragraphs>
  <ScaleCrop>false</ScaleCrop>
  <Company>Author-it Software Corporation Ltd.</Company>
  <LinksUpToDate>false</LinksUpToDate>
  <CharactersWithSpaces>7741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TLILIC0005 Licence to operate a boom-type elevating work platform (boom length 11 metres or more)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2025-02-11T05:50:00Z</dcterms:created>
  <dcterms:modified xsi:type="dcterms:W3CDTF">2025-02-11T05:50:00Z</dcterms:modified>
</cp:coreProperties>
</file>