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F15" w:rsidP="001B1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TLILIC0002 Licence to operate a vehicle loading crane (capacity 10 metre tonnes and above)</w:t>
      </w:r>
      <w:r>
        <w:fldChar w:fldCharType="end"/>
      </w:r>
    </w:p>
    <w:p w:rsidR="001B1F15" w:rsidP="001B1F15">
      <w:pPr>
        <w:pStyle w:val="Version"/>
        <w:sectPr w:rsidSect="00182F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2FB9" w:rsidP="00182FB9">
      <w:pPr>
        <w:pStyle w:val="SuperHeading"/>
      </w:pPr>
      <w:r w:rsidRPr="00182FB9">
        <w:t>TLILIC0002 Licence to operate a vehicle loading crane (capacity 10 metre tonnes and above)</w:t>
      </w:r>
    </w:p>
    <w:p w:rsidR="00000000" w:rsidRPr="00182FB9" w:rsidP="00182FB9">
      <w:pPr>
        <w:pStyle w:val="Heading1"/>
      </w:pPr>
      <w:bookmarkStart w:id="1" w:name="O_1063144"/>
      <w:bookmarkEnd w:id="1"/>
      <w:r w:rsidRPr="00182F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2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t>Release 2. This is the second release of this unit of competency in the TLI Transport and Logistics Training Package:</w:t>
            </w:r>
          </w:p>
          <w:p w:rsidR="00000000" w:rsidRPr="00182FB9" w:rsidP="00182FB9">
            <w:pPr>
              <w:pStyle w:val="ListBullet"/>
            </w:pPr>
            <w:r w:rsidRPr="00182FB9">
              <w:t>Minor statement changes in unit Application</w:t>
            </w:r>
          </w:p>
          <w:p w:rsidR="00000000" w:rsidRPr="00182FB9" w:rsidP="00182FB9">
            <w:pPr>
              <w:pStyle w:val="ListBullet"/>
            </w:pPr>
            <w:r w:rsidRPr="00182FB9">
              <w:t>Minor changes and re-ordering of Performance Evidence</w:t>
            </w:r>
          </w:p>
          <w:p w:rsidR="00000000" w:rsidRPr="00182FB9" w:rsidP="00182FB9">
            <w:pPr>
              <w:pStyle w:val="ListBullet"/>
            </w:pPr>
            <w:r w:rsidRPr="00182FB9">
              <w:t>Minor changes and re-ordering of Knowledge Evidence</w:t>
            </w:r>
          </w:p>
          <w:p w:rsidR="00000000" w:rsidP="00182FB9">
            <w:pPr>
              <w:pStyle w:val="ListBullet"/>
              <w:rPr>
                <w:lang w:val="en-NZ"/>
              </w:rPr>
            </w:pPr>
            <w:r w:rsidRPr="00182FB9">
              <w:t>Minor statement changes in Assessment Conditions.</w:t>
            </w:r>
          </w:p>
        </w:tc>
      </w:tr>
      <w:tr w:rsidTr="00182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t>Release 1. This is the first release of this unit of co</w:t>
            </w:r>
            <w:r w:rsidRPr="00182FB9">
              <w:t>mpetency in the TLI Transport and Logistics Training Package.</w:t>
            </w:r>
          </w:p>
        </w:tc>
      </w:tr>
    </w:tbl>
    <w:p w:rsidR="00000000" w:rsidRPr="00182FB9" w:rsidP="00182FB9">
      <w:pPr>
        <w:pStyle w:val="NoPaddingFontSize1"/>
      </w:pPr>
    </w:p>
    <w:p w:rsidR="00000000" w:rsidRPr="00182FB9" w:rsidP="00182FB9">
      <w:pPr>
        <w:pStyle w:val="AllowPageBreak"/>
      </w:pPr>
    </w:p>
    <w:p w:rsidR="00000000" w:rsidRPr="00182FB9" w:rsidP="00182FB9">
      <w:pPr>
        <w:pStyle w:val="Heading1"/>
      </w:pPr>
      <w:bookmarkStart w:id="2" w:name="O_1063143"/>
      <w:bookmarkEnd w:id="2"/>
      <w:r w:rsidRPr="00182FB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2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t>This unit unit specifies the skills and knowledge required to safely operate a vehicle loading crane with a Maximum Rated Capacity (MRC) of 10 metre tonnes or mo</w:t>
            </w:r>
            <w:r w:rsidRPr="00182FB9">
              <w:t>re. Competence in this unit, does not in itself result in a High Risk Work Licence (HRWL) to operate this plant.</w:t>
            </w:r>
          </w:p>
          <w:p w:rsidR="00000000" w:rsidRPr="00182FB9" w:rsidP="00182FB9">
            <w:pPr>
              <w:pStyle w:val="BodyText"/>
            </w:pPr>
            <w:r w:rsidRPr="00182FB9">
              <w:t>Vehicle loading crane means a crane mounted on a vehicle for loading and unloading the vehicle.</w:t>
            </w:r>
          </w:p>
          <w:p w:rsidR="00000000" w:rsidRPr="00182FB9" w:rsidP="00182FB9">
            <w:pPr>
              <w:pStyle w:val="BodyText"/>
            </w:pPr>
            <w:r w:rsidRPr="00182FB9">
              <w:t xml:space="preserve">A person undertaking this unit must hold: </w:t>
            </w:r>
          </w:p>
          <w:p w:rsidR="00000000" w:rsidRPr="00182FB9" w:rsidP="00182FB9">
            <w:pPr>
              <w:pStyle w:val="ListBullet"/>
            </w:pPr>
            <w:r w:rsidRPr="00182FB9">
              <w:t>a current National HRWL to perform dogging or a current certification for a specific VET course for HRWL to perform dogging that has been issued by, or on behalf of a WHS Regulator.</w:t>
            </w:r>
          </w:p>
          <w:p w:rsidR="00000000" w:rsidRPr="00182FB9" w:rsidP="00182FB9">
            <w:pPr>
              <w:pStyle w:val="BodyText"/>
            </w:pPr>
            <w:r w:rsidRPr="00182FB9">
              <w:t xml:space="preserve">A person performing this work is required to hold a vehicle loading crane </w:t>
            </w:r>
            <w:r w:rsidRPr="00182FB9">
              <w:t xml:space="preserve">HRWL. </w:t>
            </w:r>
          </w:p>
          <w:p w:rsidR="00000000" w:rsidRPr="00182FB9" w:rsidP="00182FB9">
            <w:pPr>
              <w:pStyle w:val="BodyText"/>
            </w:pPr>
            <w:r w:rsidRPr="00182FB9">
              <w:t>This unit requires a person operating a slewing vehicle loading crane with an MRC of 10 metre tonnes or more to:</w:t>
            </w:r>
          </w:p>
          <w:p w:rsidR="00000000" w:rsidRPr="00182FB9" w:rsidP="00182FB9">
            <w:pPr>
              <w:pStyle w:val="ListBullet"/>
            </w:pPr>
            <w:r w:rsidRPr="00182FB9">
              <w:t>plan for the work/task</w:t>
            </w:r>
          </w:p>
          <w:p w:rsidR="00000000" w:rsidRPr="00182FB9" w:rsidP="00182FB9">
            <w:pPr>
              <w:pStyle w:val="ListBullet"/>
            </w:pPr>
            <w:r w:rsidRPr="00182FB9">
              <w:t>prepare for the work/task</w:t>
            </w:r>
          </w:p>
          <w:p w:rsidR="00000000" w:rsidRPr="00182FB9" w:rsidP="00182FB9">
            <w:pPr>
              <w:pStyle w:val="ListBullet"/>
            </w:pPr>
            <w:r w:rsidRPr="00182FB9">
              <w:t xml:space="preserve">perform work/task </w:t>
            </w:r>
          </w:p>
          <w:p w:rsidR="00000000" w:rsidRPr="00182FB9" w:rsidP="00182FB9">
            <w:pPr>
              <w:pStyle w:val="ListBullet"/>
            </w:pPr>
            <w:r w:rsidRPr="00182FB9">
              <w:t>pack up</w:t>
            </w:r>
          </w:p>
          <w:p w:rsidR="00000000" w:rsidRPr="00182FB9" w:rsidP="00182FB9">
            <w:pPr>
              <w:pStyle w:val="BodyText"/>
            </w:pPr>
            <w:r w:rsidRPr="00182FB9">
              <w:rPr>
                <w:rStyle w:val="SpecialBold"/>
              </w:rPr>
              <w:t>Licensing/Regulatory Information</w:t>
            </w:r>
          </w:p>
          <w:p w:rsidR="00000000" w:rsidRPr="00182FB9" w:rsidP="00182FB9">
            <w:pPr>
              <w:pStyle w:val="BodyText"/>
            </w:pPr>
            <w:r w:rsidRPr="00182FB9">
              <w:t>Legislative and regulatory</w:t>
            </w:r>
            <w:r w:rsidRPr="00182FB9">
              <w:t xml:space="preserve"> requirements are applicable to this unit of competency. </w:t>
            </w:r>
          </w:p>
          <w:p w:rsidR="00000000" w:rsidRPr="00182FB9" w:rsidP="00182FB9">
            <w:pPr>
              <w:pStyle w:val="BodyText"/>
            </w:pPr>
            <w:r w:rsidRPr="00182FB9">
              <w:t xml:space="preserve">This unit is based on the licensing requirements of Part 4.5 of the Model Work Health and Safety (WHS) Regulations and meets Commonwealth, State and Territory HRWL requirements. </w:t>
            </w:r>
          </w:p>
          <w:p w:rsidR="00000000" w:rsidRPr="00182FB9" w:rsidP="00182FB9">
            <w:pPr>
              <w:pStyle w:val="BodyText"/>
            </w:pPr>
            <w:r w:rsidRPr="00182FB9">
              <w:t>The National Assess</w:t>
            </w:r>
            <w:r w:rsidRPr="00182FB9">
              <w:t>ment Instrument (NAI) is the mandated assessment for the HRWL to operate the relevant licencing class as detailed in this unit.</w:t>
            </w:r>
          </w:p>
          <w:p w:rsidR="00000000" w:rsidRPr="00182FB9" w:rsidP="00182FB9">
            <w:pPr>
              <w:pStyle w:val="NoPaddingFontSize1"/>
            </w:pPr>
          </w:p>
        </w:tc>
      </w:tr>
    </w:tbl>
    <w:p w:rsidR="00000000" w:rsidRPr="00182FB9" w:rsidP="00182FB9">
      <w:pPr>
        <w:pStyle w:val="NoPaddingFontSize1"/>
      </w:pPr>
    </w:p>
    <w:p w:rsidR="00000000" w:rsidRPr="00182FB9" w:rsidP="00182FB9">
      <w:pPr>
        <w:pStyle w:val="AllowPageBreak"/>
      </w:pPr>
    </w:p>
    <w:p w:rsidR="00000000" w:rsidRPr="00182FB9" w:rsidP="00182FB9">
      <w:pPr>
        <w:pStyle w:val="Heading1"/>
      </w:pPr>
      <w:bookmarkStart w:id="3" w:name="O_1063142"/>
      <w:bookmarkEnd w:id="3"/>
      <w:r w:rsidRPr="00182FB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2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t>Not applicable</w:t>
            </w:r>
          </w:p>
        </w:tc>
      </w:tr>
    </w:tbl>
    <w:p w:rsidR="00000000" w:rsidRPr="00182FB9" w:rsidP="00182FB9">
      <w:pPr>
        <w:pStyle w:val="NoPaddingFontSize1"/>
      </w:pPr>
    </w:p>
    <w:p w:rsidR="00000000" w:rsidRPr="00182FB9" w:rsidP="00182FB9">
      <w:pPr>
        <w:pStyle w:val="AllowPageBreak"/>
      </w:pPr>
    </w:p>
    <w:p w:rsidR="00000000" w:rsidRPr="00182FB9" w:rsidP="00182FB9">
      <w:pPr>
        <w:pStyle w:val="Heading1"/>
      </w:pPr>
      <w:bookmarkStart w:id="4" w:name="O_1063141"/>
      <w:bookmarkEnd w:id="4"/>
      <w:r w:rsidRPr="00182FB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2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t>LIC - Licencing Units</w:t>
            </w:r>
          </w:p>
        </w:tc>
      </w:tr>
    </w:tbl>
    <w:p w:rsidR="00000000" w:rsidRPr="00182FB9" w:rsidP="00182FB9">
      <w:pPr>
        <w:pStyle w:val="NoPaddingFontSize1"/>
      </w:pPr>
    </w:p>
    <w:p w:rsidR="00000000" w:rsidRPr="00182FB9" w:rsidP="00182FB9">
      <w:pPr>
        <w:pStyle w:val="AllowPageBreak"/>
      </w:pPr>
    </w:p>
    <w:p w:rsidR="00000000" w:rsidRPr="00182FB9" w:rsidP="00182FB9">
      <w:pPr>
        <w:pStyle w:val="Heading1"/>
      </w:pPr>
      <w:bookmarkStart w:id="5" w:name="O_1063140"/>
      <w:bookmarkEnd w:id="5"/>
      <w:r w:rsidRPr="00182FB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2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t>Not applicable</w:t>
            </w:r>
          </w:p>
        </w:tc>
      </w:tr>
    </w:tbl>
    <w:p w:rsidR="00000000" w:rsidRPr="00182FB9" w:rsidP="00182FB9">
      <w:pPr>
        <w:pStyle w:val="NoPaddingFontSize1"/>
      </w:pPr>
    </w:p>
    <w:p w:rsidR="00000000" w:rsidRPr="00182FB9" w:rsidP="00182FB9">
      <w:pPr>
        <w:pStyle w:val="AllowPageBreak"/>
      </w:pPr>
    </w:p>
    <w:p w:rsidR="00000000" w:rsidRPr="00182FB9" w:rsidP="00182FB9">
      <w:pPr>
        <w:pStyle w:val="Heading1"/>
      </w:pPr>
      <w:bookmarkStart w:id="6" w:name="O_1063139"/>
      <w:bookmarkEnd w:id="6"/>
      <w:r w:rsidRPr="00182FB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2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PERFORMANCE CRITERIA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Performance criteria describe the performance needed to demonstrate achievement of the element.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rPr>
                <w:rStyle w:val="SpecialBold"/>
              </w:rPr>
              <w:t>Plan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Task requirements are identified from work orders or equivalent and a lift plan is confirmed with associated personnel and a site inspect</w:t>
            </w:r>
            <w:r w:rsidRPr="00182FB9">
              <w:t>ion is conducted in accordance with workplace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Work area operating surface is confirmed to determine the quality of ground suitability for operational use of vehicle loading crane in accordance with workplace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 xml:space="preserve">Vehicle loading crane rated capacity (RC) and the lifting gear Working Load Limit (WLL) are established for the load/s and work/task requirements in accordance with manufacturer requirements and workplace procedures 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 xml:space="preserve">Appropriate paths for operating </w:t>
            </w:r>
            <w:r w:rsidRPr="00182FB9">
              <w:t xml:space="preserve">the vehicle loading crane and moving and placing load/s in work area are assessed and determined in accordance with workplace procedures 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Relevant hazard identification and risk elimination/control measures are applied and advised to associated pers</w:t>
            </w:r>
            <w:r w:rsidRPr="00182FB9">
              <w:t xml:space="preserve">onnel in accordance with workplace procedures 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 xml:space="preserve">Traffic management plan implementation is confirmed and followed in accordance with workplace procedures 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1.7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Appropriate communication procedures are identified and tested with associated personnel in accordance with workplace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1.8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All tasks are confirmed to ensure requirements for the relevant work area in accordance with workplace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82FB9" w:rsidP="00182FB9">
            <w:pPr>
              <w:pStyle w:val="BodyText"/>
            </w:pPr>
            <w:r w:rsidRPr="00182FB9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rPr>
                <w:rStyle w:val="SpecialBold"/>
              </w:rPr>
              <w:t>Prepare for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Consultation with workplace personnel is established and maintained to ensure all crane and lifting operations are clear and consistent with site requirements in accordance with a lift plan and workplace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Risk control measures for hazards identified are checked for implementation in accordance with the lift plan and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Vehicle loading crane controls are accessed safely in accordance with manufacturer requirements and safe work proce</w:t>
            </w:r>
            <w:r w:rsidRPr="00182FB9">
              <w:t>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Pre-start vehicle loading crane checks are carried out and any damage and defects are reported, recorded and appropriate action is taken in accordance with safe work procedures and manufacturer requirements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Vehicle loading crane i</w:t>
            </w:r>
            <w:r w:rsidRPr="00182FB9">
              <w:t>s set up correctly with any lifting gear as per the lift plan in accordance with relevant manufacturer requirements including load chart/s and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2.6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Boom/jib and lifting gear are set up as required in accordance with specific manufact</w:t>
            </w:r>
            <w:r w:rsidRPr="00182FB9">
              <w:t>urer requirements and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2.7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Vehicle loading crane is stabilised appropriately in accordance with the lift plan, relevant manufacturer requirements and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2.8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Operational checks are carried out and any damage and defects are reported, recorded and appropriate action is taken in accordance with manufacturer requirements and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2.9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Vehicle loading crane logbook is inspected and is correct fo</w:t>
            </w:r>
            <w:r w:rsidRPr="00182FB9">
              <w:t>r the crane type, is completed and signed and required rectifications have been signed off in accordance with manufacturer requirements and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2.10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Weather and work environment conditions are assessed to determine any impact on vehicle</w:t>
            </w:r>
            <w:r w:rsidRPr="00182FB9">
              <w:t xml:space="preserve"> loading crane operations in accordance with manufacturer requirements and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82FB9" w:rsidP="00182FB9">
            <w:pPr>
              <w:pStyle w:val="BodyText"/>
            </w:pPr>
            <w:r w:rsidRPr="00182FB9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rPr>
                <w:rStyle w:val="SpecialBold"/>
              </w:rPr>
              <w:t xml:space="preserve">Perform work/task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Lifts are determined within the RC of the vehicle loading crane in accordance with the load chart/s and lift plan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 xml:space="preserve">Boom/jib and hook block are safely positioned over the load following directions from associated personnel in accordance with the lift plan and safe work procedures 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Lifting gear is connected to the load and used safely in accordance with the lift p</w:t>
            </w:r>
            <w:r w:rsidRPr="00182FB9">
              <w:t>lan, safe work procedures and manufacturer requirements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Test lift is carried out in accordance with dogging and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Loads are transferred using relevant crane movements and tag lines as required, in accordance with lift plan and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3.6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 xml:space="preserve">Load and crane movement is monitored constantly and crane is operated safely in accordance with lift plan and safe </w:t>
            </w:r>
            <w:r w:rsidRPr="00182FB9">
              <w:t>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3.7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 xml:space="preserve">All required communication signals are correctly interpreted and followed whilst crane is operated in accordance with the lift plan and safe work procedures 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3.8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Load is lowered and landed safely</w:t>
            </w:r>
            <w:r w:rsidRPr="00182FB9">
              <w:t xml:space="preserve"> in accordance with lift plan and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3.9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 xml:space="preserve">Lifting gear is disconnected from load and crane is positioned safely and efficiently for next task in accordance with lift plan and safe work procedures 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rPr>
                <w:rStyle w:val="SpecialBold"/>
              </w:rPr>
              <w:t xml:space="preserve">Pack up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Crane boom/jib, lifting gear and associated equipment is stowed and secured as required in accordance with manufacturer requirements and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Relevant motion locks and brakes are applied as required in accordance with manufacturer re</w:t>
            </w:r>
            <w:r w:rsidRPr="00182FB9">
              <w:t>quirements and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Stabilisers are stowed and secured in accordance with manufacturer requirements and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4.4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Crane is shut down and secured to prevent unauthorised access/use in accordance with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4.5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t>Plates or packing are stowed and secured in accordance with safe work procedures</w:t>
            </w:r>
          </w:p>
        </w:tc>
      </w:tr>
      <w:tr w:rsidTr="00182F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B9">
            <w:pPr>
              <w:pStyle w:val="BodyText"/>
              <w:rPr>
                <w:lang w:val="en-NZ"/>
              </w:rPr>
            </w:pPr>
            <w:r w:rsidRPr="00182FB9">
              <w:rPr>
                <w:rStyle w:val="SpecialBold"/>
              </w:rPr>
              <w:t>4.6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t>Shut down crane checks are carried out in accordance wi</w:t>
            </w:r>
            <w:r w:rsidRPr="00182FB9">
              <w:t>th safe work procedures and manufacturer requirements</w:t>
            </w:r>
          </w:p>
        </w:tc>
      </w:tr>
    </w:tbl>
    <w:p w:rsidR="001B1F15" w:rsidP="00182FB9">
      <w:pPr>
        <w:pStyle w:val="NoPaddingFontSize1"/>
      </w:pPr>
    </w:p>
    <w:p w:rsidR="001B1F15" w:rsidP="00182FB9">
      <w:pPr>
        <w:pStyle w:val="NoPaddingFontSize1"/>
      </w:pPr>
    </w:p>
    <w:p w:rsidR="00000000" w:rsidRPr="00182FB9" w:rsidP="00182FB9">
      <w:pPr>
        <w:pStyle w:val="Heading1"/>
      </w:pPr>
      <w:bookmarkStart w:id="7" w:name="O_1063138"/>
      <w:bookmarkEnd w:id="7"/>
      <w:r w:rsidRPr="00182FB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2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t xml:space="preserve">Foundation skills essential to performance are explicit in the performance criteria of this unit of </w:t>
            </w:r>
            <w:r w:rsidRPr="00182FB9">
              <w:t>competency</w:t>
            </w:r>
          </w:p>
        </w:tc>
      </w:tr>
    </w:tbl>
    <w:p w:rsidR="00000000" w:rsidRPr="00182FB9" w:rsidP="00182FB9">
      <w:pPr>
        <w:pStyle w:val="NoPaddingFontSize1"/>
      </w:pPr>
    </w:p>
    <w:p w:rsidR="00000000" w:rsidRPr="00182FB9" w:rsidP="00182FB9">
      <w:pPr>
        <w:pStyle w:val="AllowPageBreak"/>
      </w:pPr>
    </w:p>
    <w:p w:rsidR="00000000" w:rsidRPr="00182FB9" w:rsidP="00182FB9">
      <w:pPr>
        <w:pStyle w:val="Heading1"/>
      </w:pPr>
      <w:bookmarkStart w:id="8" w:name="O_1063137"/>
      <w:bookmarkEnd w:id="8"/>
      <w:r w:rsidRPr="00182FB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2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t>Range is restricted to essential operating conditions and any other variables essential to the work environment.</w:t>
            </w:r>
          </w:p>
          <w:p w:rsidR="00000000" w:rsidRPr="00182FB9" w:rsidP="00182FB9">
            <w:pPr>
              <w:pStyle w:val="BodyText"/>
            </w:pPr>
            <w:r w:rsidRPr="00182FB9">
              <w:t>Non -essential conditions may be found in the Companion Volume Implementation Guide.</w:t>
            </w:r>
          </w:p>
        </w:tc>
      </w:tr>
    </w:tbl>
    <w:p w:rsidR="00000000" w:rsidRPr="00182FB9" w:rsidP="00182FB9">
      <w:pPr>
        <w:pStyle w:val="NoPaddingFontSize1"/>
      </w:pPr>
    </w:p>
    <w:p w:rsidR="00000000" w:rsidRPr="00182FB9" w:rsidP="00182FB9">
      <w:pPr>
        <w:pStyle w:val="AllowPageBreak"/>
      </w:pPr>
    </w:p>
    <w:p w:rsidR="00000000" w:rsidRPr="00182FB9" w:rsidP="00182FB9">
      <w:pPr>
        <w:pStyle w:val="Heading1"/>
      </w:pPr>
      <w:bookmarkStart w:id="9" w:name="O_1063136"/>
      <w:bookmarkEnd w:id="9"/>
      <w:r w:rsidRPr="00182FB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2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B9" w:rsidP="00182FB9">
            <w:pPr>
              <w:pStyle w:val="BodyText"/>
            </w:pPr>
            <w:r w:rsidRPr="00182FB9">
              <w:t>This unit re</w:t>
            </w:r>
            <w:r w:rsidRPr="00182FB9">
              <w:t>places and is equivalent to TLILIC0012 Licence to operate a vehicle loading crane (capacity 10 metre tonnes and above)</w:t>
            </w:r>
          </w:p>
        </w:tc>
      </w:tr>
    </w:tbl>
    <w:p w:rsidR="00000000" w:rsidRPr="00182FB9" w:rsidP="00182FB9">
      <w:pPr>
        <w:pStyle w:val="NoPaddingFontSize1"/>
      </w:pPr>
    </w:p>
    <w:p w:rsidR="00000000" w:rsidRPr="00182FB9" w:rsidP="00182FB9">
      <w:pPr>
        <w:pStyle w:val="AllowPageBreak"/>
      </w:pPr>
    </w:p>
    <w:p w:rsidR="00000000" w:rsidRPr="00182FB9" w:rsidP="00182FB9">
      <w:pPr>
        <w:pStyle w:val="Heading1"/>
      </w:pPr>
      <w:bookmarkStart w:id="10" w:name="O_1063145"/>
      <w:bookmarkEnd w:id="10"/>
      <w:r w:rsidRPr="00182FB9">
        <w:t>Links</w:t>
      </w:r>
    </w:p>
    <w:p w:rsidR="00000000" w:rsidRPr="00182FB9" w:rsidP="001B1F15">
      <w:pPr>
        <w:pStyle w:val="BodyText"/>
      </w:pPr>
      <w:r w:rsidRPr="00182FB9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D3DB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2FB9" w:rsidP="00182FB9"/>
    <w:sectPr w:rsidSect="00182F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F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FB9" w:rsidRPr="001B1F15" w:rsidP="001B1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F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15" w:rsidP="00182F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B1F15" w:rsidP="00182F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1F15" w:rsidP="00182F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F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2FB9" w:rsidRPr="001B1F15" w:rsidP="001B1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F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15" w:rsidRPr="002D2AF8" w:rsidP="00182F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TLILIC0002 Licence to operate a vehicle loading crane (capacity 10 metre tonnes and above)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B1F15" w:rsidP="00182F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52B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C277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F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F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F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F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F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F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F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F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F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F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F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FB9"/>
  </w:style>
  <w:style w:type="character" w:customStyle="1" w:styleId="Heading1Char">
    <w:name w:val="Heading 1 Char"/>
    <w:basedOn w:val="DefaultParagraphFont"/>
    <w:link w:val="Heading1"/>
    <w:rsid w:val="00182F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F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F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2F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2FB9"/>
    <w:rPr>
      <w:b/>
      <w:spacing w:val="0"/>
    </w:rPr>
  </w:style>
  <w:style w:type="paragraph" w:customStyle="1" w:styleId="SuperHeading">
    <w:name w:val="SuperHeading"/>
    <w:basedOn w:val="Normal"/>
    <w:rsid w:val="00182F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F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2F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F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F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F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F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F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F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F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F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F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F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F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F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F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F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F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2F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F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F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2F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2F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F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F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F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F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F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F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F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F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FB9"/>
    <w:rPr>
      <w:i/>
    </w:rPr>
  </w:style>
  <w:style w:type="paragraph" w:styleId="Caption">
    <w:name w:val="caption"/>
    <w:basedOn w:val="BodyText"/>
    <w:next w:val="Normal"/>
    <w:qFormat/>
    <w:rsid w:val="00182F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F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F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FB9"/>
  </w:style>
  <w:style w:type="paragraph" w:styleId="TableofFigures">
    <w:name w:val="table of figures"/>
    <w:basedOn w:val="Normal"/>
    <w:next w:val="Normal"/>
    <w:semiHidden/>
    <w:rsid w:val="00182F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F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2FB9"/>
    <w:rPr>
      <w:rFonts w:ascii="Wingdings" w:hAnsi="Wingdings"/>
    </w:rPr>
  </w:style>
  <w:style w:type="paragraph" w:customStyle="1" w:styleId="TableHeading">
    <w:name w:val="Table Heading"/>
    <w:basedOn w:val="HeadingBase"/>
    <w:rsid w:val="00182F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FB9"/>
    <w:rPr>
      <w:color w:val="0033CC"/>
      <w:u w:val="none"/>
    </w:rPr>
  </w:style>
  <w:style w:type="paragraph" w:customStyle="1" w:styleId="BodyTextRight">
    <w:name w:val="Body Text Right"/>
    <w:basedOn w:val="BodyText"/>
    <w:rsid w:val="00182F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F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F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F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F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F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FB9"/>
    <w:rPr>
      <w:sz w:val="32"/>
    </w:rPr>
  </w:style>
  <w:style w:type="paragraph" w:customStyle="1" w:styleId="HeadingProcedure">
    <w:name w:val="Heading Procedure"/>
    <w:basedOn w:val="HeadingBase"/>
    <w:next w:val="Normal"/>
    <w:rsid w:val="00182F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FB9"/>
    <w:pPr>
      <w:spacing w:before="60" w:after="60"/>
    </w:pPr>
  </w:style>
  <w:style w:type="paragraph" w:styleId="ListContinue">
    <w:name w:val="List Continue"/>
    <w:basedOn w:val="List"/>
    <w:rsid w:val="00182FB9"/>
    <w:pPr>
      <w:ind w:firstLine="0"/>
    </w:pPr>
  </w:style>
  <w:style w:type="paragraph" w:customStyle="1" w:styleId="ListNote">
    <w:name w:val="List Note"/>
    <w:basedOn w:val="List"/>
    <w:rsid w:val="00182F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F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F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FB9"/>
    <w:rPr>
      <w:rFonts w:ascii="Courier New" w:hAnsi="Courier New"/>
    </w:rPr>
  </w:style>
  <w:style w:type="paragraph" w:customStyle="1" w:styleId="NoteBullet">
    <w:name w:val="Note Bullet"/>
    <w:basedOn w:val="Note"/>
    <w:rsid w:val="00182F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F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F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F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F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2F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F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FB9"/>
    <w:rPr>
      <w:b/>
      <w:smallCaps/>
    </w:rPr>
  </w:style>
  <w:style w:type="paragraph" w:customStyle="1" w:styleId="TableListNumber">
    <w:name w:val="Table List Number"/>
    <w:basedOn w:val="ListNumber"/>
    <w:rsid w:val="00182F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F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FB9"/>
    <w:pPr>
      <w:numPr>
        <w:numId w:val="8"/>
      </w:numPr>
    </w:pPr>
  </w:style>
  <w:style w:type="paragraph" w:customStyle="1" w:styleId="ListAlpha2">
    <w:name w:val="List Alpha 2"/>
    <w:basedOn w:val="List2"/>
    <w:rsid w:val="00182FB9"/>
    <w:pPr>
      <w:numPr>
        <w:numId w:val="7"/>
      </w:numPr>
    </w:pPr>
  </w:style>
  <w:style w:type="paragraph" w:styleId="List2">
    <w:name w:val="List 2"/>
    <w:basedOn w:val="BodyText"/>
    <w:rsid w:val="00182F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F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F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F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F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F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2FB9"/>
    <w:pPr>
      <w:numPr>
        <w:numId w:val="3"/>
      </w:numPr>
    </w:pPr>
  </w:style>
  <w:style w:type="paragraph" w:styleId="ListContinue2">
    <w:name w:val="List Continue 2"/>
    <w:basedOn w:val="List2"/>
    <w:rsid w:val="00182FB9"/>
    <w:pPr>
      <w:ind w:firstLine="0"/>
    </w:pPr>
  </w:style>
  <w:style w:type="paragraph" w:styleId="ListContinue3">
    <w:name w:val="List Continue 3"/>
    <w:basedOn w:val="List3"/>
    <w:rsid w:val="00182FB9"/>
    <w:pPr>
      <w:ind w:left="1021" w:firstLine="0"/>
    </w:pPr>
  </w:style>
  <w:style w:type="paragraph" w:styleId="ListContinue4">
    <w:name w:val="List Continue 4"/>
    <w:basedOn w:val="List4"/>
    <w:rsid w:val="00182FB9"/>
    <w:pPr>
      <w:ind w:firstLine="0"/>
    </w:pPr>
  </w:style>
  <w:style w:type="paragraph" w:styleId="ListContinue5">
    <w:name w:val="List Continue 5"/>
    <w:basedOn w:val="List5"/>
    <w:rsid w:val="00182FB9"/>
    <w:pPr>
      <w:ind w:firstLine="0"/>
    </w:pPr>
  </w:style>
  <w:style w:type="paragraph" w:styleId="ListNumber3">
    <w:name w:val="List Number 3"/>
    <w:basedOn w:val="List3"/>
    <w:rsid w:val="00182FB9"/>
    <w:pPr>
      <w:numPr>
        <w:numId w:val="4"/>
      </w:numPr>
    </w:pPr>
  </w:style>
  <w:style w:type="paragraph" w:styleId="ListNumber4">
    <w:name w:val="List Number 4"/>
    <w:basedOn w:val="List4"/>
    <w:rsid w:val="00182FB9"/>
    <w:pPr>
      <w:numPr>
        <w:numId w:val="5"/>
      </w:numPr>
    </w:pPr>
  </w:style>
  <w:style w:type="paragraph" w:styleId="ListNumber5">
    <w:name w:val="List Number 5"/>
    <w:basedOn w:val="List5"/>
    <w:rsid w:val="00182FB9"/>
    <w:pPr>
      <w:numPr>
        <w:numId w:val="6"/>
      </w:numPr>
    </w:pPr>
  </w:style>
  <w:style w:type="paragraph" w:styleId="BlockText">
    <w:name w:val="Block Text"/>
    <w:basedOn w:val="Normal"/>
    <w:rsid w:val="00182F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F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FB9"/>
    <w:rPr>
      <w:sz w:val="16"/>
      <w:vertAlign w:val="superscript"/>
    </w:rPr>
  </w:style>
  <w:style w:type="character" w:customStyle="1" w:styleId="Symbols">
    <w:name w:val="Symbols"/>
    <w:basedOn w:val="DefaultParagraphFont"/>
    <w:rsid w:val="00182FB9"/>
    <w:rPr>
      <w:rFonts w:ascii="Symbol" w:hAnsi="Symbol"/>
    </w:rPr>
  </w:style>
  <w:style w:type="character" w:customStyle="1" w:styleId="MenuOptions">
    <w:name w:val="Menu Options"/>
    <w:basedOn w:val="DefaultParagraphFont"/>
    <w:rsid w:val="00182F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FB9"/>
    <w:rPr>
      <w:b/>
    </w:rPr>
  </w:style>
  <w:style w:type="character" w:customStyle="1" w:styleId="Underlined">
    <w:name w:val="Underlined"/>
    <w:basedOn w:val="DefaultParagraphFont"/>
    <w:rsid w:val="00182FB9"/>
    <w:rPr>
      <w:u w:val="single"/>
    </w:rPr>
  </w:style>
  <w:style w:type="paragraph" w:customStyle="1" w:styleId="TableBodyTextRight">
    <w:name w:val="Table Body Text Right"/>
    <w:basedOn w:val="TableBodyText"/>
    <w:rsid w:val="00182F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FB9"/>
    <w:rPr>
      <w:sz w:val="18"/>
    </w:rPr>
  </w:style>
  <w:style w:type="paragraph" w:customStyle="1" w:styleId="BodySmallRight">
    <w:name w:val="Body Small Right"/>
    <w:basedOn w:val="BodyTextRight"/>
    <w:rsid w:val="00182FB9"/>
    <w:rPr>
      <w:sz w:val="18"/>
      <w:szCs w:val="18"/>
    </w:rPr>
  </w:style>
  <w:style w:type="paragraph" w:customStyle="1" w:styleId="MarginEdition">
    <w:name w:val="Margin Edition"/>
    <w:basedOn w:val="MarginNote"/>
    <w:rsid w:val="00182F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FB9"/>
    <w:rPr>
      <w:sz w:val="2"/>
      <w:szCs w:val="2"/>
    </w:rPr>
  </w:style>
  <w:style w:type="character" w:customStyle="1" w:styleId="Small">
    <w:name w:val="Small"/>
    <w:basedOn w:val="DefaultParagraphFont"/>
    <w:rsid w:val="00182FB9"/>
    <w:rPr>
      <w:sz w:val="16"/>
    </w:rPr>
  </w:style>
  <w:style w:type="paragraph" w:customStyle="1" w:styleId="WideTable">
    <w:name w:val="Wide Table"/>
    <w:basedOn w:val="Normal"/>
    <w:rsid w:val="00182F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FB9"/>
  </w:style>
  <w:style w:type="paragraph" w:styleId="Quote">
    <w:name w:val="Quote"/>
    <w:basedOn w:val="Heading1"/>
    <w:link w:val="QuoteChar"/>
    <w:qFormat/>
    <w:rsid w:val="00182F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F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FB9"/>
    <w:pPr>
      <w:pageBreakBefore/>
    </w:pPr>
  </w:style>
  <w:style w:type="paragraph" w:customStyle="1" w:styleId="Border">
    <w:name w:val="Border"/>
    <w:basedOn w:val="Normal"/>
    <w:qFormat/>
    <w:rsid w:val="00182F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F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F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F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F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F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F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F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F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FB9"/>
    <w:rPr>
      <w:u w:val="single"/>
    </w:rPr>
  </w:style>
  <w:style w:type="character" w:customStyle="1" w:styleId="BoldandItalics">
    <w:name w:val="Bold and Italics"/>
    <w:qFormat/>
    <w:rsid w:val="00182FB9"/>
    <w:rPr>
      <w:b/>
      <w:i/>
      <w:u w:val="none"/>
    </w:rPr>
  </w:style>
  <w:style w:type="paragraph" w:styleId="BalloonText">
    <w:name w:val="Balloon Text"/>
    <w:basedOn w:val="Normal"/>
    <w:link w:val="BalloonTextChar"/>
    <w:rsid w:val="00182F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F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F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F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F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F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FB9"/>
    <w:pPr>
      <w:spacing w:before="0" w:after="0"/>
    </w:pPr>
  </w:style>
  <w:style w:type="paragraph" w:customStyle="1" w:styleId="BodyTextBold">
    <w:name w:val="Body Text Bold"/>
    <w:basedOn w:val="BodyText"/>
    <w:qFormat/>
    <w:rsid w:val="00182FB9"/>
    <w:rPr>
      <w:b/>
    </w:rPr>
  </w:style>
  <w:style w:type="character" w:styleId="Hyperlink">
    <w:name w:val="Hyperlink"/>
    <w:basedOn w:val="DefaultParagraphFont"/>
    <w:uiPriority w:val="99"/>
    <w:unhideWhenUsed/>
    <w:rsid w:val="001B1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1230</Words>
  <Characters>7015</Characters>
  <Application>Microsoft Office Word</Application>
  <DocSecurity>0</DocSecurity>
  <Lines>305</Lines>
  <Paragraphs>144</Paragraphs>
  <ScaleCrop>false</ScaleCrop>
  <Company>Author-it Software Corporation Ltd.</Company>
  <LinksUpToDate>false</LinksUpToDate>
  <CharactersWithSpaces>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TLILIC0002 Licence to operate a vehicle loading crane (capacity 10 metre tonnes and above)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