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F48" w:rsidP="004B0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TLIL5066 Apply rail resource management principles</w:t>
      </w:r>
      <w:r>
        <w:fldChar w:fldCharType="end"/>
      </w:r>
    </w:p>
    <w:p w:rsidR="004B0F48" w:rsidP="004B0F48">
      <w:pPr>
        <w:pStyle w:val="Version"/>
        <w:sectPr w:rsidSect="00C22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B12" w:rsidP="00C22B12">
      <w:pPr>
        <w:pStyle w:val="SuperHeading"/>
      </w:pPr>
      <w:r w:rsidRPr="00C22B12">
        <w:t>TLIL5066 Apply rail resource management principles</w:t>
      </w:r>
    </w:p>
    <w:p w:rsidR="00000000" w:rsidRPr="00C22B12" w:rsidP="00C22B12">
      <w:pPr>
        <w:pStyle w:val="Heading1"/>
      </w:pPr>
      <w:bookmarkStart w:id="1" w:name="O_753119"/>
      <w:bookmarkEnd w:id="1"/>
      <w:r w:rsidRPr="00C22B12">
        <w:t>Modification History</w:t>
      </w:r>
    </w:p>
    <w:p w:rsidR="004B0F48" w:rsidP="004B0F48">
      <w:pPr>
        <w:pStyle w:val="BodyText"/>
      </w:pPr>
      <w:r w:rsidRPr="00C22B12">
        <w:t>Release 1. This is the first release of this unit of competency in the TLI Transport and Logistics Training Package.</w:t>
      </w:r>
    </w:p>
    <w:p w:rsidR="00000000" w:rsidRPr="00C22B12" w:rsidP="00C22B12">
      <w:pPr>
        <w:pStyle w:val="Heading1"/>
      </w:pPr>
      <w:bookmarkStart w:id="2" w:name="O_753120"/>
      <w:bookmarkEnd w:id="2"/>
      <w:r w:rsidRPr="00C22B1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t>This unit involves the skills and knowledge required to apply rail resource mana</w:t>
            </w:r>
            <w:r w:rsidRPr="00C22B12">
              <w:t>gement (RRM) principles to rail activities.</w:t>
            </w:r>
          </w:p>
          <w:p w:rsidR="00000000" w:rsidRPr="00C22B12" w:rsidP="00C22B12">
            <w:pPr>
              <w:pStyle w:val="BodyText"/>
            </w:pPr>
            <w:r w:rsidRPr="00C22B12">
              <w:t>It includes identifying and applying RRM principles to personal leadership, task management, teamwork, communications, risk management, situational awareness, decision making, managing emergencies and self-manage</w:t>
            </w:r>
            <w:r w:rsidRPr="00C22B12">
              <w:t>ment.</w:t>
            </w:r>
          </w:p>
          <w:p w:rsidR="00000000" w:rsidRPr="00C22B12" w:rsidP="00C22B12">
            <w:pPr>
              <w:pStyle w:val="BodyText"/>
            </w:pPr>
            <w:r w:rsidRPr="00C22B12">
              <w:t>This unit covers the application of RRM principles in a management role within the rail industry. It can be applied to freight, heavy haul or metropolitan and regional passenger rail systems.</w:t>
            </w:r>
          </w:p>
          <w:p w:rsidR="00000000" w:rsidRPr="00C22B12" w:rsidP="00C22B12">
            <w:pPr>
              <w:pStyle w:val="BodyText"/>
            </w:pPr>
            <w:r w:rsidRPr="00C22B12">
              <w:t>No licensing, legislative or certification requirements ap</w:t>
            </w:r>
            <w:r w:rsidRPr="00C22B12">
              <w:t>ply to this unit at the time of publication.</w:t>
            </w:r>
          </w:p>
        </w:tc>
      </w:tr>
    </w:tbl>
    <w:p w:rsidR="004B0F48" w:rsidP="00C22B12">
      <w:pPr>
        <w:pStyle w:val="BodyText"/>
      </w:pPr>
    </w:p>
    <w:p w:rsidR="004B0F48" w:rsidP="00C22B12">
      <w:pPr>
        <w:pStyle w:val="BodyText"/>
      </w:pPr>
    </w:p>
    <w:p w:rsidR="00000000" w:rsidRPr="00C22B12" w:rsidP="00C22B12">
      <w:pPr>
        <w:pStyle w:val="Heading1"/>
      </w:pPr>
      <w:bookmarkStart w:id="3" w:name="O_753121"/>
      <w:bookmarkEnd w:id="3"/>
      <w:r w:rsidRPr="00C22B12">
        <w:t>Pre-requisite Unit</w:t>
      </w:r>
    </w:p>
    <w:p w:rsidR="004B0F48" w:rsidP="004B0F48">
      <w:pPr>
        <w:pStyle w:val="BodyText"/>
      </w:pPr>
      <w:r w:rsidRPr="00C22B12">
        <w:t>Not applicable.</w:t>
      </w:r>
    </w:p>
    <w:p w:rsidR="00000000" w:rsidRPr="00C22B12" w:rsidP="00C22B12">
      <w:pPr>
        <w:pStyle w:val="Heading1"/>
      </w:pPr>
      <w:bookmarkStart w:id="4" w:name="O_753122"/>
      <w:bookmarkEnd w:id="4"/>
      <w:r w:rsidRPr="00C22B12">
        <w:t>Competency Field</w:t>
      </w:r>
    </w:p>
    <w:p w:rsidR="004B0F48" w:rsidP="004B0F48">
      <w:pPr>
        <w:pStyle w:val="BodyText"/>
      </w:pPr>
      <w:r w:rsidRPr="00C22B12">
        <w:t>L – Resource Management</w:t>
      </w:r>
    </w:p>
    <w:p w:rsidR="00000000" w:rsidRPr="00C22B12" w:rsidP="00C22B12">
      <w:pPr>
        <w:pStyle w:val="Heading1"/>
      </w:pPr>
      <w:bookmarkStart w:id="5" w:name="O_753123"/>
      <w:bookmarkEnd w:id="5"/>
      <w:r w:rsidRPr="00C22B12">
        <w:t>Unit Sector</w:t>
      </w:r>
    </w:p>
    <w:p w:rsidR="004B0F48" w:rsidP="004B0F48">
      <w:pPr>
        <w:pStyle w:val="BodyText"/>
      </w:pPr>
      <w:r w:rsidRPr="00C22B12">
        <w:t>Not applicable.</w:t>
      </w:r>
    </w:p>
    <w:p w:rsidR="00000000" w:rsidRPr="00C22B12" w:rsidP="00C22B12">
      <w:pPr>
        <w:pStyle w:val="Heading1"/>
      </w:pPr>
      <w:bookmarkStart w:id="6" w:name="O_753124"/>
      <w:bookmarkEnd w:id="6"/>
      <w:r w:rsidRPr="00C22B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Performance criteria describe the performance needed to demonstrate achievement of the element.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 xml:space="preserve">Apply RRM </w:t>
            </w:r>
            <w:r w:rsidRPr="00C22B12">
              <w:rPr>
                <w:rStyle w:val="SpecialBold"/>
              </w:rPr>
              <w:t>principles to personal leadership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Personal responsibility is taken in accordance with RRM principl</w:t>
            </w:r>
            <w:r w:rsidRPr="00C22B12">
              <w:t>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Decisiveness is demonstrated when mitigating risk, in accordance with RRM principles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Interventions are made when rules and procedures are not followed by team members, in accordance with RRM principles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Own and team performance is monitored in accordance with RRM principles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Participation in task planning and analysis by team members is encouraged where appropriate, in accordance with RRM principles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Situational leadership is demonstrated in accordance with RRM principles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>Apply RRM principles to task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Attention is focused and distractions are managed in normal and high workload situations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Actions of team members are monitored and cross-checked in accordance with RRM principles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Workloads are managed by prioritising and delegating safety-critical and routine tasks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Existing work plans are reviewed and modified as required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 xml:space="preserve">Automated systems and controls are managed effectively 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Multiple tasks and high workload are identified and prioritised in accordance with RRM principles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Time constraints are discussed with team members when managing workload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>Apply RRM pri</w:t>
            </w:r>
            <w:r w:rsidRPr="00C22B12">
              <w:rPr>
                <w:rStyle w:val="SpecialBold"/>
              </w:rPr>
              <w:t>nciples to teamwork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Assistance and advice is provided to team members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Workload of team members is considered before interacting with them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Team awareness of safety is enhanced by sharing experiences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Open communication and effective working relationships with others are established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Professional or personal biases are identified and put aside to promote cooperation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Interpersonal skills are used to defuse arguments and to resolve conflict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 xml:space="preserve">Advice is sought and considered from team members and/or relevant sources as required 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>Apply RRM principles to communications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Information and operational plans are shared with others as required, prior to commencing work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Critical events are debriefed to improve the way they are handled next time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Understanding is confirmed at end of a briefing or debriefing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Questions are asked to clarify understanding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Relevant information is passed on to keep team members up-to-date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Instructions, information and explanations are given in a clear and unambiguous manner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Correct radio protocol is used at all times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Proper handover to another person or t</w:t>
            </w:r>
            <w:r w:rsidRPr="00C22B12">
              <w:t>eam is conducted at end of shift for critical operational tasks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>Apply RRM principles to risk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Principles of threat and error management are applied in rail industry workplaces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Particular caution is exercised under unusual or demanding conditions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Deadlines are balanced with safety considerations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Tasks are carried out in accordance with risk management policies and procedures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Rules and procedures are followed at all times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Management of potential hazards and/or abnormal situations is discussed with team members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Equipment is operated safely in accordance with rules and limits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>Apply RRM principles to decision maki</w:t>
            </w:r>
            <w:r w:rsidRPr="00C22B12">
              <w:rPr>
                <w:rStyle w:val="SpecialBold"/>
              </w:rPr>
              <w:t>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Relevant information to help understand problem is gathered and analysed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Opinions and suggestions are sought from others before deciding what to do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Available time is used to consider all options, not just the most obvious alternative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Potential risks for each alternative being considered are discussed with appropriate personnel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Appropriate option/s is selected and implemented based on available information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Outcome of decision/s is reviewed to ensure solution was effective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>Apply RRM principles to managing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Risk is regularly re-assessed when dealing with emergency situations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Training and experience is applied to carry out most important actions in an emergency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Reassurance is given to others to help them remain calm in an emergency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Action is taken to protect passengers and/or rail workers from further danger in an</w:t>
            </w:r>
            <w:r w:rsidRPr="00C22B12">
              <w:t xml:space="preserve"> emergency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rPr>
                <w:rStyle w:val="SpecialBold"/>
              </w:rPr>
              <w:t>Apply RRM principles to self-management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Composure is shown in managing emergency and/or other demanding situations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Effects of fatigue in self and/or others are recognised and appropriate action is taken to manage this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Effectiveness is maintained under stress or periods of high workload</w:t>
            </w:r>
          </w:p>
        </w:tc>
      </w:tr>
      <w:tr w:rsidTr="004B0F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12">
            <w:pPr>
              <w:pStyle w:val="BodyText"/>
              <w:rPr>
                <w:lang w:val="en-NZ"/>
              </w:rPr>
            </w:pPr>
            <w:r w:rsidRPr="00C22B12"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t>Assistance is requested to deal with difficult or abnormal situations</w:t>
            </w:r>
          </w:p>
        </w:tc>
      </w:tr>
    </w:tbl>
    <w:p w:rsidR="004B0F48" w:rsidP="00C22B12">
      <w:pPr>
        <w:pStyle w:val="BodyText"/>
      </w:pPr>
    </w:p>
    <w:p w:rsidR="004B0F48" w:rsidP="00C22B12">
      <w:pPr>
        <w:pStyle w:val="BodyText"/>
      </w:pPr>
    </w:p>
    <w:p w:rsidR="00000000" w:rsidRPr="00C22B12" w:rsidP="00C22B12">
      <w:pPr>
        <w:pStyle w:val="Heading1"/>
      </w:pPr>
      <w:bookmarkStart w:id="7" w:name="O_753125"/>
      <w:bookmarkEnd w:id="7"/>
      <w:r w:rsidRPr="00C22B12">
        <w:t>Foundation Skills</w:t>
      </w:r>
    </w:p>
    <w:p w:rsidR="004B0F48" w:rsidP="004B0F48">
      <w:pPr>
        <w:pStyle w:val="BodyText"/>
      </w:pPr>
      <w:r w:rsidRPr="00C22B12">
        <w:t>Foundation skills essential to performance are explicit in the performance criteria of this unit of competency.</w:t>
      </w:r>
    </w:p>
    <w:p w:rsidR="00000000" w:rsidRPr="00C22B12" w:rsidP="00C22B12">
      <w:pPr>
        <w:pStyle w:val="Heading1"/>
      </w:pPr>
      <w:bookmarkStart w:id="8" w:name="O_753126"/>
      <w:bookmarkEnd w:id="8"/>
      <w:r w:rsidRPr="00C22B12">
        <w:t>Range of Conditions</w:t>
      </w:r>
    </w:p>
    <w:p w:rsidR="00000000" w:rsidRPr="00C22B12" w:rsidP="004B0F48">
      <w:pPr>
        <w:pStyle w:val="BodyText"/>
      </w:pPr>
      <w:r w:rsidRPr="00C22B12">
        <w:t>Range is restricted to essential operating conditions and any other variables essential to the work enviro</w:t>
      </w:r>
      <w:r w:rsidRPr="00C22B12">
        <w:t>nment.</w:t>
      </w:r>
    </w:p>
    <w:p w:rsidR="004B0F48" w:rsidP="004B0F48">
      <w:pPr>
        <w:pStyle w:val="BodyText"/>
      </w:pPr>
      <w:r w:rsidRPr="00C22B12">
        <w:t>Non-essential conditions can be found in the Companion Volume Implementation Guide.</w:t>
      </w:r>
    </w:p>
    <w:p w:rsidR="00000000" w:rsidRPr="00C22B12" w:rsidP="00C22B12">
      <w:pPr>
        <w:pStyle w:val="Heading1"/>
      </w:pPr>
      <w:bookmarkStart w:id="9" w:name="O_753127"/>
      <w:bookmarkEnd w:id="9"/>
      <w:r w:rsidRPr="00C22B12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22B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12" w:rsidP="00C22B12">
            <w:pPr>
              <w:pStyle w:val="BodyText"/>
            </w:pPr>
            <w:r w:rsidRPr="00C22B12">
              <w:t>This unit replaces and is equivalent to TLIL5066A Apply rail resource management principles.</w:t>
            </w:r>
          </w:p>
        </w:tc>
      </w:tr>
    </w:tbl>
    <w:p w:rsidR="004B0F48" w:rsidP="00C22B12">
      <w:pPr>
        <w:pStyle w:val="BodyText"/>
      </w:pPr>
    </w:p>
    <w:p w:rsidR="004B0F48" w:rsidP="00C22B12">
      <w:pPr>
        <w:pStyle w:val="BodyText"/>
      </w:pPr>
    </w:p>
    <w:p w:rsidR="00000000" w:rsidRPr="00C22B12" w:rsidP="00C22B12">
      <w:pPr>
        <w:pStyle w:val="Heading1"/>
      </w:pPr>
      <w:bookmarkStart w:id="10" w:name="O_753134"/>
      <w:bookmarkEnd w:id="10"/>
      <w:r w:rsidRPr="00C22B12">
        <w:t>Links</w:t>
      </w:r>
    </w:p>
    <w:p w:rsidR="00000000" w:rsidRPr="00C22B12" w:rsidP="004B0F48">
      <w:pPr>
        <w:pStyle w:val="BodyText"/>
      </w:pPr>
      <w:r w:rsidRPr="00C22B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14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2B12" w:rsidP="00C22B12"/>
    <w:sectPr w:rsidSect="00C22B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2" w:rsidRPr="004B0F48" w:rsidP="004B0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48" w:rsidP="00C22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F48" w:rsidP="00C22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B0F48" w:rsidP="00C22B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B12" w:rsidRPr="004B0F48" w:rsidP="004B0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48" w:rsidRPr="002D2AF8" w:rsidP="00C22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TLIL5066 Apply rail resource management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B0F48" w:rsidP="00C22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B12"/>
  </w:style>
  <w:style w:type="character" w:customStyle="1" w:styleId="Heading1Char">
    <w:name w:val="Heading 1 Char"/>
    <w:basedOn w:val="DefaultParagraphFont"/>
    <w:link w:val="Heading1"/>
    <w:rsid w:val="00C22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B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B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2B12"/>
    <w:rPr>
      <w:b/>
      <w:spacing w:val="0"/>
    </w:rPr>
  </w:style>
  <w:style w:type="paragraph" w:customStyle="1" w:styleId="SuperHeading">
    <w:name w:val="SuperHeading"/>
    <w:basedOn w:val="Normal"/>
    <w:rsid w:val="00C22B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B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B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B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B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2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B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B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B12"/>
    <w:rPr>
      <w:i/>
    </w:rPr>
  </w:style>
  <w:style w:type="paragraph" w:styleId="Caption">
    <w:name w:val="caption"/>
    <w:basedOn w:val="BodyText"/>
    <w:next w:val="Normal"/>
    <w:qFormat/>
    <w:rsid w:val="00C22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B12"/>
  </w:style>
  <w:style w:type="paragraph" w:styleId="TableofFigures">
    <w:name w:val="table of figures"/>
    <w:basedOn w:val="Normal"/>
    <w:next w:val="Normal"/>
    <w:semiHidden/>
    <w:rsid w:val="00C22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B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2B12"/>
    <w:rPr>
      <w:rFonts w:ascii="Wingdings" w:hAnsi="Wingdings"/>
    </w:rPr>
  </w:style>
  <w:style w:type="paragraph" w:customStyle="1" w:styleId="TableHeading">
    <w:name w:val="Table Heading"/>
    <w:basedOn w:val="HeadingBase"/>
    <w:rsid w:val="00C22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B12"/>
    <w:rPr>
      <w:color w:val="0033CC"/>
      <w:u w:val="none"/>
    </w:rPr>
  </w:style>
  <w:style w:type="paragraph" w:customStyle="1" w:styleId="BodyTextRight">
    <w:name w:val="Body Text Right"/>
    <w:basedOn w:val="BodyText"/>
    <w:rsid w:val="00C22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B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B12"/>
    <w:rPr>
      <w:sz w:val="32"/>
    </w:rPr>
  </w:style>
  <w:style w:type="paragraph" w:customStyle="1" w:styleId="HeadingProcedure">
    <w:name w:val="Heading Procedure"/>
    <w:basedOn w:val="HeadingBase"/>
    <w:next w:val="Normal"/>
    <w:rsid w:val="00C22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B12"/>
    <w:pPr>
      <w:spacing w:before="60" w:after="60"/>
    </w:pPr>
  </w:style>
  <w:style w:type="paragraph" w:styleId="ListContinue">
    <w:name w:val="List Continue"/>
    <w:basedOn w:val="List"/>
    <w:rsid w:val="00C22B12"/>
    <w:pPr>
      <w:ind w:firstLine="0"/>
    </w:pPr>
  </w:style>
  <w:style w:type="paragraph" w:customStyle="1" w:styleId="ListNote">
    <w:name w:val="List Note"/>
    <w:basedOn w:val="List"/>
    <w:rsid w:val="00C22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B12"/>
    <w:rPr>
      <w:rFonts w:ascii="Courier New" w:hAnsi="Courier New"/>
    </w:rPr>
  </w:style>
  <w:style w:type="paragraph" w:customStyle="1" w:styleId="NoteBullet">
    <w:name w:val="Note Bullet"/>
    <w:basedOn w:val="Note"/>
    <w:rsid w:val="00C22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B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2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B12"/>
    <w:rPr>
      <w:b/>
      <w:smallCaps/>
    </w:rPr>
  </w:style>
  <w:style w:type="paragraph" w:customStyle="1" w:styleId="TableListNumber">
    <w:name w:val="Table List Number"/>
    <w:basedOn w:val="ListNumber"/>
    <w:rsid w:val="00C22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B12"/>
    <w:pPr>
      <w:numPr>
        <w:numId w:val="7"/>
      </w:numPr>
    </w:pPr>
  </w:style>
  <w:style w:type="paragraph" w:customStyle="1" w:styleId="ListAlpha2">
    <w:name w:val="List Alpha 2"/>
    <w:basedOn w:val="List2"/>
    <w:rsid w:val="00C22B12"/>
    <w:pPr>
      <w:numPr>
        <w:numId w:val="6"/>
      </w:numPr>
    </w:pPr>
  </w:style>
  <w:style w:type="paragraph" w:styleId="List2">
    <w:name w:val="List 2"/>
    <w:basedOn w:val="BodyText"/>
    <w:rsid w:val="00C22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B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B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B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2B12"/>
    <w:pPr>
      <w:numPr>
        <w:numId w:val="2"/>
      </w:numPr>
    </w:pPr>
  </w:style>
  <w:style w:type="paragraph" w:styleId="ListContinue2">
    <w:name w:val="List Continue 2"/>
    <w:basedOn w:val="List2"/>
    <w:rsid w:val="00C22B12"/>
    <w:pPr>
      <w:ind w:firstLine="0"/>
    </w:pPr>
  </w:style>
  <w:style w:type="paragraph" w:styleId="ListContinue3">
    <w:name w:val="List Continue 3"/>
    <w:basedOn w:val="List3"/>
    <w:rsid w:val="00C22B12"/>
    <w:pPr>
      <w:ind w:left="1021" w:firstLine="0"/>
    </w:pPr>
  </w:style>
  <w:style w:type="paragraph" w:styleId="ListContinue4">
    <w:name w:val="List Continue 4"/>
    <w:basedOn w:val="List4"/>
    <w:rsid w:val="00C22B12"/>
    <w:pPr>
      <w:ind w:firstLine="0"/>
    </w:pPr>
  </w:style>
  <w:style w:type="paragraph" w:styleId="ListContinue5">
    <w:name w:val="List Continue 5"/>
    <w:basedOn w:val="List5"/>
    <w:rsid w:val="00C22B12"/>
    <w:pPr>
      <w:ind w:firstLine="0"/>
    </w:pPr>
  </w:style>
  <w:style w:type="paragraph" w:styleId="ListNumber3">
    <w:name w:val="List Number 3"/>
    <w:basedOn w:val="List3"/>
    <w:rsid w:val="00C22B12"/>
    <w:pPr>
      <w:numPr>
        <w:numId w:val="3"/>
      </w:numPr>
    </w:pPr>
  </w:style>
  <w:style w:type="paragraph" w:styleId="ListNumber4">
    <w:name w:val="List Number 4"/>
    <w:basedOn w:val="List4"/>
    <w:rsid w:val="00C22B12"/>
    <w:pPr>
      <w:numPr>
        <w:numId w:val="4"/>
      </w:numPr>
    </w:pPr>
  </w:style>
  <w:style w:type="paragraph" w:styleId="ListNumber5">
    <w:name w:val="List Number 5"/>
    <w:basedOn w:val="List5"/>
    <w:rsid w:val="00C22B12"/>
    <w:pPr>
      <w:numPr>
        <w:numId w:val="5"/>
      </w:numPr>
    </w:pPr>
  </w:style>
  <w:style w:type="paragraph" w:styleId="BlockText">
    <w:name w:val="Block Text"/>
    <w:basedOn w:val="Normal"/>
    <w:rsid w:val="00C22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B12"/>
    <w:rPr>
      <w:sz w:val="16"/>
      <w:vertAlign w:val="superscript"/>
    </w:rPr>
  </w:style>
  <w:style w:type="character" w:customStyle="1" w:styleId="Symbols">
    <w:name w:val="Symbols"/>
    <w:basedOn w:val="DefaultParagraphFont"/>
    <w:rsid w:val="00C22B12"/>
    <w:rPr>
      <w:rFonts w:ascii="Symbol" w:hAnsi="Symbol"/>
    </w:rPr>
  </w:style>
  <w:style w:type="character" w:customStyle="1" w:styleId="MenuOptions">
    <w:name w:val="Menu Options"/>
    <w:basedOn w:val="DefaultParagraphFont"/>
    <w:rsid w:val="00C22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B12"/>
    <w:rPr>
      <w:b/>
    </w:rPr>
  </w:style>
  <w:style w:type="character" w:customStyle="1" w:styleId="Underlined">
    <w:name w:val="Underlined"/>
    <w:basedOn w:val="DefaultParagraphFont"/>
    <w:rsid w:val="00C22B12"/>
    <w:rPr>
      <w:u w:val="single"/>
    </w:rPr>
  </w:style>
  <w:style w:type="paragraph" w:customStyle="1" w:styleId="TableBodyTextRight">
    <w:name w:val="Table Body Text Right"/>
    <w:basedOn w:val="TableBodyText"/>
    <w:rsid w:val="00C22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B12"/>
    <w:rPr>
      <w:sz w:val="18"/>
    </w:rPr>
  </w:style>
  <w:style w:type="paragraph" w:customStyle="1" w:styleId="BodySmallRight">
    <w:name w:val="Body Small Right"/>
    <w:basedOn w:val="BodyTextRight"/>
    <w:rsid w:val="00C22B12"/>
    <w:rPr>
      <w:sz w:val="18"/>
      <w:szCs w:val="18"/>
    </w:rPr>
  </w:style>
  <w:style w:type="paragraph" w:customStyle="1" w:styleId="MarginEdition">
    <w:name w:val="Margin Edition"/>
    <w:basedOn w:val="MarginNote"/>
    <w:rsid w:val="00C22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B12"/>
    <w:rPr>
      <w:sz w:val="2"/>
      <w:szCs w:val="2"/>
    </w:rPr>
  </w:style>
  <w:style w:type="character" w:customStyle="1" w:styleId="Small">
    <w:name w:val="Small"/>
    <w:basedOn w:val="DefaultParagraphFont"/>
    <w:rsid w:val="00C22B12"/>
    <w:rPr>
      <w:sz w:val="16"/>
    </w:rPr>
  </w:style>
  <w:style w:type="paragraph" w:customStyle="1" w:styleId="WideTable">
    <w:name w:val="Wide Table"/>
    <w:basedOn w:val="Normal"/>
    <w:rsid w:val="00C22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B12"/>
  </w:style>
  <w:style w:type="paragraph" w:styleId="Quote">
    <w:name w:val="Quote"/>
    <w:basedOn w:val="Heading1"/>
    <w:link w:val="QuoteChar"/>
    <w:qFormat/>
    <w:rsid w:val="00C22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B12"/>
    <w:pPr>
      <w:pageBreakBefore/>
    </w:pPr>
  </w:style>
  <w:style w:type="paragraph" w:customStyle="1" w:styleId="Border">
    <w:name w:val="Border"/>
    <w:basedOn w:val="Normal"/>
    <w:qFormat/>
    <w:rsid w:val="00C22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B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B12"/>
    <w:rPr>
      <w:u w:val="single"/>
    </w:rPr>
  </w:style>
  <w:style w:type="character" w:customStyle="1" w:styleId="BoldandItalics">
    <w:name w:val="Bold and Italics"/>
    <w:qFormat/>
    <w:rsid w:val="00C22B12"/>
    <w:rPr>
      <w:b/>
      <w:i/>
      <w:u w:val="none"/>
    </w:rPr>
  </w:style>
  <w:style w:type="paragraph" w:styleId="BalloonText">
    <w:name w:val="Balloon Text"/>
    <w:basedOn w:val="Normal"/>
    <w:link w:val="BalloonTextChar"/>
    <w:rsid w:val="00C22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B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B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B12"/>
    <w:pPr>
      <w:spacing w:before="0" w:after="0"/>
    </w:pPr>
  </w:style>
  <w:style w:type="paragraph" w:customStyle="1" w:styleId="BodyTextBold">
    <w:name w:val="Body Text Bold"/>
    <w:basedOn w:val="BodyText"/>
    <w:qFormat/>
    <w:rsid w:val="00C22B12"/>
    <w:rPr>
      <w:b/>
    </w:rPr>
  </w:style>
  <w:style w:type="character" w:styleId="Hyperlink">
    <w:name w:val="Hyperlink"/>
    <w:basedOn w:val="DefaultParagraphFont"/>
    <w:uiPriority w:val="99"/>
    <w:unhideWhenUsed/>
    <w:rsid w:val="004B0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5478</Characters>
  <Application>Microsoft Office Word</Application>
  <DocSecurity>0</DocSecurity>
  <Lines>304</Lines>
  <Paragraphs>173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TLIL5066 Apply rail resource management principles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