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98D" w:rsidP="00DE0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TLIL5063 Review contracts, insurance, risk and liability in an international freight forwarding context</w:t>
      </w:r>
      <w:r>
        <w:fldChar w:fldCharType="end"/>
      </w:r>
    </w:p>
    <w:p w:rsidR="00DE098D" w:rsidP="00DE098D">
      <w:pPr>
        <w:pStyle w:val="Version"/>
        <w:sectPr w:rsidSect="00B62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2400" w:rsidP="00B62400">
      <w:pPr>
        <w:pStyle w:val="SuperHeading"/>
      </w:pPr>
      <w:r w:rsidRPr="00B62400">
        <w:t>TLIL5063 Review contracts, insurance, risk and liability in an international freight forwarding context</w:t>
      </w:r>
    </w:p>
    <w:p w:rsidR="00000000" w:rsidRPr="00B62400" w:rsidP="00B62400">
      <w:pPr>
        <w:pStyle w:val="Heading1"/>
      </w:pPr>
      <w:bookmarkStart w:id="1" w:name="O_1067408"/>
      <w:bookmarkEnd w:id="1"/>
      <w:r w:rsidRPr="00B624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 xml:space="preserve">Release 2. </w:t>
            </w:r>
            <w:r w:rsidRPr="00B62400">
              <w:t xml:space="preserve">This is the second release of this unit of competency in the TLI Transport and Logistics Training Package: </w:t>
            </w:r>
          </w:p>
          <w:p w:rsidR="00000000" w:rsidRPr="00B62400" w:rsidP="00B62400">
            <w:pPr>
              <w:pStyle w:val="ListBullet"/>
            </w:pPr>
            <w:r w:rsidRPr="00B62400">
              <w:t>Minor legal principles wording added in Knowledge Evidence</w:t>
            </w:r>
          </w:p>
          <w:p w:rsidR="00000000" w:rsidP="00B62400">
            <w:pPr>
              <w:pStyle w:val="ListBullet"/>
              <w:rPr>
                <w:lang w:val="en-NZ"/>
              </w:rPr>
            </w:pPr>
            <w:r w:rsidRPr="00B62400">
              <w:t>Minor statement changes in Assessment Conditions.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 xml:space="preserve">Release 1. </w:t>
            </w:r>
            <w:r w:rsidRPr="00B62400">
              <w:t xml:space="preserve">This is the first release </w:t>
            </w:r>
            <w:r w:rsidRPr="00B62400">
              <w:t>of this unit of competency in the TLI Transport and Logistics Training Package.</w:t>
            </w:r>
          </w:p>
        </w:tc>
      </w:tr>
    </w:tbl>
    <w:p w:rsidR="00000000" w:rsidRPr="00B62400" w:rsidP="00B62400">
      <w:pPr>
        <w:pStyle w:val="NoPaddingFontSize1"/>
      </w:pPr>
    </w:p>
    <w:p w:rsidR="00000000" w:rsidRPr="00B62400" w:rsidP="00B62400">
      <w:pPr>
        <w:pStyle w:val="AllowPageBreak"/>
      </w:pPr>
    </w:p>
    <w:p w:rsidR="00000000" w:rsidRPr="00B62400" w:rsidP="00B62400">
      <w:pPr>
        <w:pStyle w:val="Heading1"/>
      </w:pPr>
      <w:bookmarkStart w:id="2" w:name="O_1067407"/>
      <w:bookmarkEnd w:id="2"/>
      <w:r w:rsidRPr="00B6240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E09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t xml:space="preserve">This unit involves the skills and knowledge required to review contracts, insurance, risk and liability in an international freight forwarding </w:t>
            </w:r>
            <w:r w:rsidRPr="00B62400">
              <w:t xml:space="preserve">context. </w:t>
            </w:r>
          </w:p>
          <w:p w:rsidR="00000000" w:rsidRPr="00B62400" w:rsidP="00B62400">
            <w:pPr>
              <w:pStyle w:val="BodyText"/>
            </w:pPr>
            <w:r w:rsidRPr="00B62400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B62400" w:rsidP="00B62400">
            <w:pPr>
              <w:pStyle w:val="BodyText"/>
            </w:pPr>
            <w:r w:rsidRPr="00B62400">
              <w:t>This includes examining an internati</w:t>
            </w:r>
            <w:r w:rsidRPr="00B62400">
              <w:t>onal freight forwarding sales contract, examining an international freight forwarding service contract, managing risk in international freight forwarding, assisting in organising transport insurance requirements, confirming or organising liability insuranc</w:t>
            </w:r>
            <w:r w:rsidRPr="00B62400">
              <w:t xml:space="preserve">e requirements, assisting a customer to make a claim on a transport insurance policy, and making a claim on a liability insurance policy. </w:t>
            </w:r>
          </w:p>
          <w:p w:rsidR="00000000" w:rsidRPr="00B62400" w:rsidP="00B62400">
            <w:pPr>
              <w:pStyle w:val="BodyText"/>
            </w:pPr>
            <w:r w:rsidRPr="00B62400">
              <w:t>No licensing, legislative or certification requirements apply to this unit at the time of publication.</w:t>
            </w:r>
          </w:p>
        </w:tc>
      </w:tr>
    </w:tbl>
    <w:p w:rsidR="00DE098D" w:rsidP="00B62400">
      <w:pPr>
        <w:pStyle w:val="BodyText"/>
      </w:pPr>
    </w:p>
    <w:p w:rsidR="00DE098D" w:rsidP="00B62400">
      <w:pPr>
        <w:pStyle w:val="BodyText"/>
      </w:pPr>
    </w:p>
    <w:p w:rsidR="00000000" w:rsidRPr="00B62400" w:rsidP="00B62400">
      <w:pPr>
        <w:pStyle w:val="Heading1"/>
      </w:pPr>
      <w:bookmarkStart w:id="3" w:name="O_1067406"/>
      <w:bookmarkEnd w:id="3"/>
      <w:r w:rsidRPr="00B62400">
        <w:t>Pre-requisite Unit</w:t>
      </w:r>
    </w:p>
    <w:p w:rsidR="00DE098D" w:rsidP="00DE098D">
      <w:pPr>
        <w:pStyle w:val="BodyText"/>
      </w:pPr>
      <w:r w:rsidRPr="00B62400">
        <w:t>Not applicable.</w:t>
      </w:r>
    </w:p>
    <w:p w:rsidR="00000000" w:rsidRPr="00B62400" w:rsidP="00B62400">
      <w:pPr>
        <w:pStyle w:val="Heading1"/>
      </w:pPr>
      <w:bookmarkStart w:id="4" w:name="O_1067405"/>
      <w:bookmarkEnd w:id="4"/>
      <w:r w:rsidRPr="00B62400">
        <w:t>Competency Field</w:t>
      </w:r>
    </w:p>
    <w:p w:rsidR="00DE098D" w:rsidP="00DE098D">
      <w:pPr>
        <w:pStyle w:val="BodyText"/>
      </w:pPr>
      <w:r w:rsidRPr="00B62400">
        <w:t>L – Resource Management</w:t>
      </w:r>
    </w:p>
    <w:p w:rsidR="00000000" w:rsidRPr="00B62400" w:rsidP="00B62400">
      <w:pPr>
        <w:pStyle w:val="Heading1"/>
      </w:pPr>
      <w:bookmarkStart w:id="5" w:name="O_1067404"/>
      <w:bookmarkEnd w:id="5"/>
      <w:r w:rsidRPr="00B62400">
        <w:t>Unit Sector</w:t>
      </w:r>
    </w:p>
    <w:p w:rsidR="00DE098D" w:rsidP="00DE098D">
      <w:pPr>
        <w:pStyle w:val="BodyText"/>
      </w:pPr>
      <w:r w:rsidRPr="00B62400">
        <w:t>Not applicable.</w:t>
      </w:r>
    </w:p>
    <w:p w:rsidR="00000000" w:rsidRPr="00B62400" w:rsidP="00B62400">
      <w:pPr>
        <w:pStyle w:val="Heading1"/>
      </w:pPr>
      <w:bookmarkStart w:id="6" w:name="O_1067403"/>
      <w:bookmarkEnd w:id="6"/>
      <w:r w:rsidRPr="00B624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PERFORMANCE CRITERIA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Performance criteria describe the performance needed to demonstrate achievement of the element.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Examine an international freight forwarding sales contract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 xml:space="preserve">Sales contract/evidence of the sales contract is </w:t>
            </w:r>
            <w:r w:rsidRPr="00B62400">
              <w:t>reviewed and relevant Incoterm and other relevant factors are confirmed and used as the basis for appointing costs throughout forwarding activities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 xml:space="preserve">Sales contract is used to determine project deadlines as well as respective responsibilities, rights </w:t>
            </w:r>
            <w:r w:rsidRPr="00B62400">
              <w:t>and liabilities between buyer and seller in a given transaction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Examine an international freight forwarding service contract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Service contract and supporting documents are reviewed and confirmed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Service contract and supporting documents are interpreted and required action is taken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Manage risk in international freight forwarding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Risks associated with a planned international freight forwarding activity are assessed using appropriate risk anal</w:t>
            </w:r>
            <w:r w:rsidRPr="00B62400">
              <w:t>ysis techniques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Suitable strategies for controlling identified risks are established in consultation with customer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Risk factors are identified and monitored throughout a freight forwarding project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Alternative routing and other risk control measures are implemented, as required, when critical contingencies arise before or during freight transport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Checks are made so all conventions for international freight transport can be fulfilled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Assist in organising insurance requirements for international freight forwarding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Insurance requirements for international freight transport are evaluated in accordance with workplace procedures and taking into account critical project risk factors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4</w:t>
            </w:r>
            <w:r w:rsidRPr="00B62400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Assistance is provided in organising an appropriate policy that will provide the required cover for the project, as required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Assistance is provided to the customer to make an insurance claim for loss or damage in accordance with policy requirements and workplace procedures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All documentation to support an insurance claim is lodged with insurer in accordance with policy req</w:t>
            </w:r>
            <w:r w:rsidRPr="00B62400">
              <w:t>uirements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rPr>
                <w:rStyle w:val="SpecialBold"/>
              </w:rPr>
              <w:t>Manage legal liability in an international freight forwarding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Risks of legal liabilities towards customers and third parties as a direct result of an internal forwarder mistake or negligence are evaluated using appropriate risk ana</w:t>
            </w:r>
            <w:r w:rsidRPr="00B62400">
              <w:t>lysis techniques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Appropriate liability insurance is confirmed or organised that provides the required cover for risks involved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t>A claim is made on insurance where loss or damage is directly attributable to a forwarder mistake or negligence, in accordance with policy requirements and workplace procedures</w:t>
            </w:r>
          </w:p>
        </w:tc>
      </w:tr>
      <w:tr w:rsidTr="00B62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00">
            <w:pPr>
              <w:pStyle w:val="BodyText"/>
              <w:rPr>
                <w:lang w:val="en-NZ"/>
              </w:rPr>
            </w:pPr>
            <w:r w:rsidRPr="00B6240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00" w:rsidP="00B62400">
            <w:pPr>
              <w:pStyle w:val="BodyText"/>
            </w:pPr>
            <w:r w:rsidRPr="00B62400">
              <w:t>All documentation to support an insurance claim is lodged with insurer i</w:t>
            </w:r>
            <w:r w:rsidRPr="00B62400">
              <w:t>n accordance with policy requirements</w:t>
            </w:r>
          </w:p>
        </w:tc>
      </w:tr>
    </w:tbl>
    <w:p w:rsidR="00000000" w:rsidRPr="00B62400" w:rsidP="00B62400">
      <w:pPr>
        <w:pStyle w:val="NoPaddingFontSize1"/>
      </w:pPr>
    </w:p>
    <w:p w:rsidR="00000000" w:rsidRPr="00B62400" w:rsidP="00B62400">
      <w:pPr>
        <w:pStyle w:val="AllowPageBreak"/>
      </w:pPr>
    </w:p>
    <w:p w:rsidR="00000000" w:rsidRPr="00B62400" w:rsidP="00B62400">
      <w:pPr>
        <w:pStyle w:val="Heading1"/>
      </w:pPr>
      <w:bookmarkStart w:id="7" w:name="O_1067402"/>
      <w:bookmarkEnd w:id="7"/>
      <w:r w:rsidRPr="00B62400">
        <w:t>Foundation Skills</w:t>
      </w:r>
    </w:p>
    <w:p w:rsidR="00DE098D" w:rsidP="00DE098D">
      <w:pPr>
        <w:pStyle w:val="BodyText"/>
      </w:pPr>
      <w:r w:rsidRPr="00B62400">
        <w:t>Foundation skills essential to performance are explicit in the performance criteria of this unit of competency.</w:t>
      </w:r>
    </w:p>
    <w:p w:rsidR="00000000" w:rsidRPr="00B62400" w:rsidP="00B62400">
      <w:pPr>
        <w:pStyle w:val="Heading1"/>
      </w:pPr>
      <w:bookmarkStart w:id="8" w:name="O_1067401"/>
      <w:bookmarkEnd w:id="8"/>
      <w:r w:rsidRPr="00B62400">
        <w:t>Range of Conditions</w:t>
      </w:r>
    </w:p>
    <w:p w:rsidR="00000000" w:rsidRPr="00B62400" w:rsidP="00DE098D">
      <w:pPr>
        <w:pStyle w:val="BodyText"/>
      </w:pPr>
      <w:r w:rsidRPr="00B62400">
        <w:t>Range is restricted to esse</w:t>
      </w:r>
      <w:r w:rsidRPr="00B62400">
        <w:t>ntial operating conditions and any other variables essential to the work environment.</w:t>
      </w:r>
    </w:p>
    <w:p w:rsidR="00DE098D" w:rsidP="00DE098D">
      <w:pPr>
        <w:pStyle w:val="BodyText"/>
      </w:pPr>
      <w:r w:rsidRPr="00B62400">
        <w:t>Non-essential conditions can be found in the Companion Volume Implementation Guide.</w:t>
      </w:r>
    </w:p>
    <w:p w:rsidR="00000000" w:rsidRPr="00B62400" w:rsidP="00B62400">
      <w:pPr>
        <w:pStyle w:val="Heading1"/>
      </w:pPr>
      <w:bookmarkStart w:id="9" w:name="O_1067400"/>
      <w:bookmarkEnd w:id="9"/>
      <w:r w:rsidRPr="00B62400">
        <w:t>Unit Mapping Information</w:t>
      </w:r>
    </w:p>
    <w:p w:rsidR="00DE098D" w:rsidP="00DE098D">
      <w:pPr>
        <w:pStyle w:val="BodyText"/>
      </w:pPr>
      <w:r w:rsidRPr="00B62400">
        <w:t>This unit replaces and is equivalent to TLIL5063A Review contracts, insurance, risk and liability in the international freight forwarding context.</w:t>
      </w:r>
    </w:p>
    <w:p w:rsidR="00000000" w:rsidRPr="00B62400" w:rsidP="00B62400">
      <w:pPr>
        <w:pStyle w:val="Heading1"/>
      </w:pPr>
      <w:bookmarkStart w:id="10" w:name="O_1067409"/>
      <w:bookmarkEnd w:id="10"/>
      <w:r w:rsidRPr="00B62400">
        <w:t>Links</w:t>
      </w:r>
    </w:p>
    <w:p w:rsidR="00000000" w:rsidRPr="00B62400" w:rsidP="00DE098D">
      <w:pPr>
        <w:pStyle w:val="BodyText"/>
      </w:pPr>
      <w:r w:rsidRPr="00B62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2A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2400" w:rsidP="00B62400"/>
    <w:sectPr w:rsidSect="00B62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00" w:rsidRPr="00DE098D" w:rsidP="00DE0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8D" w:rsidP="00B62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98D" w:rsidP="00B62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098D" w:rsidP="00B62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400" w:rsidRPr="00DE098D" w:rsidP="00DE0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8D" w:rsidRPr="002D2AF8" w:rsidP="00B62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TLIL5063 Review contracts, insurance, risk and liability in an international freight forwarding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E098D" w:rsidP="00B62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87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D26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400"/>
  </w:style>
  <w:style w:type="character" w:customStyle="1" w:styleId="Heading1Char">
    <w:name w:val="Heading 1 Char"/>
    <w:basedOn w:val="DefaultParagraphFont"/>
    <w:link w:val="Heading1"/>
    <w:rsid w:val="00B62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4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400"/>
    <w:rPr>
      <w:b/>
      <w:spacing w:val="0"/>
    </w:rPr>
  </w:style>
  <w:style w:type="paragraph" w:customStyle="1" w:styleId="SuperHeading">
    <w:name w:val="SuperHeading"/>
    <w:basedOn w:val="Normal"/>
    <w:rsid w:val="00B62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4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400"/>
    <w:rPr>
      <w:i/>
    </w:rPr>
  </w:style>
  <w:style w:type="paragraph" w:styleId="Caption">
    <w:name w:val="caption"/>
    <w:basedOn w:val="BodyText"/>
    <w:next w:val="Normal"/>
    <w:qFormat/>
    <w:rsid w:val="00B62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400"/>
  </w:style>
  <w:style w:type="paragraph" w:styleId="TableofFigures">
    <w:name w:val="table of figures"/>
    <w:basedOn w:val="Normal"/>
    <w:next w:val="Normal"/>
    <w:semiHidden/>
    <w:rsid w:val="00B62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4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400"/>
    <w:rPr>
      <w:rFonts w:ascii="Wingdings" w:hAnsi="Wingdings"/>
    </w:rPr>
  </w:style>
  <w:style w:type="paragraph" w:customStyle="1" w:styleId="TableHeading">
    <w:name w:val="Table Heading"/>
    <w:basedOn w:val="HeadingBase"/>
    <w:rsid w:val="00B62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400"/>
    <w:rPr>
      <w:color w:val="0033CC"/>
      <w:u w:val="none"/>
    </w:rPr>
  </w:style>
  <w:style w:type="paragraph" w:customStyle="1" w:styleId="BodyTextRight">
    <w:name w:val="Body Text Right"/>
    <w:basedOn w:val="BodyText"/>
    <w:rsid w:val="00B62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400"/>
    <w:rPr>
      <w:sz w:val="32"/>
    </w:rPr>
  </w:style>
  <w:style w:type="paragraph" w:customStyle="1" w:styleId="HeadingProcedure">
    <w:name w:val="Heading Procedure"/>
    <w:basedOn w:val="HeadingBase"/>
    <w:next w:val="Normal"/>
    <w:rsid w:val="00B62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400"/>
    <w:pPr>
      <w:spacing w:before="60" w:after="60"/>
    </w:pPr>
  </w:style>
  <w:style w:type="paragraph" w:styleId="ListContinue">
    <w:name w:val="List Continue"/>
    <w:basedOn w:val="List"/>
    <w:rsid w:val="00B62400"/>
    <w:pPr>
      <w:ind w:firstLine="0"/>
    </w:pPr>
  </w:style>
  <w:style w:type="paragraph" w:customStyle="1" w:styleId="ListNote">
    <w:name w:val="List Note"/>
    <w:basedOn w:val="List"/>
    <w:rsid w:val="00B62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400"/>
    <w:rPr>
      <w:rFonts w:ascii="Courier New" w:hAnsi="Courier New"/>
    </w:rPr>
  </w:style>
  <w:style w:type="paragraph" w:customStyle="1" w:styleId="NoteBullet">
    <w:name w:val="Note Bullet"/>
    <w:basedOn w:val="Note"/>
    <w:rsid w:val="00B62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4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400"/>
    <w:rPr>
      <w:b/>
      <w:smallCaps/>
    </w:rPr>
  </w:style>
  <w:style w:type="paragraph" w:customStyle="1" w:styleId="TableListNumber">
    <w:name w:val="Table List Number"/>
    <w:basedOn w:val="ListNumber"/>
    <w:rsid w:val="00B62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400"/>
    <w:pPr>
      <w:numPr>
        <w:numId w:val="8"/>
      </w:numPr>
    </w:pPr>
  </w:style>
  <w:style w:type="paragraph" w:customStyle="1" w:styleId="ListAlpha2">
    <w:name w:val="List Alpha 2"/>
    <w:basedOn w:val="List2"/>
    <w:rsid w:val="00B62400"/>
    <w:pPr>
      <w:numPr>
        <w:numId w:val="7"/>
      </w:numPr>
    </w:pPr>
  </w:style>
  <w:style w:type="paragraph" w:styleId="List2">
    <w:name w:val="List 2"/>
    <w:basedOn w:val="BodyText"/>
    <w:rsid w:val="00B62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4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4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400"/>
    <w:pPr>
      <w:numPr>
        <w:numId w:val="3"/>
      </w:numPr>
    </w:pPr>
  </w:style>
  <w:style w:type="paragraph" w:styleId="ListContinue2">
    <w:name w:val="List Continue 2"/>
    <w:basedOn w:val="List2"/>
    <w:rsid w:val="00B62400"/>
    <w:pPr>
      <w:ind w:firstLine="0"/>
    </w:pPr>
  </w:style>
  <w:style w:type="paragraph" w:styleId="ListContinue3">
    <w:name w:val="List Continue 3"/>
    <w:basedOn w:val="List3"/>
    <w:rsid w:val="00B62400"/>
    <w:pPr>
      <w:ind w:left="1021" w:firstLine="0"/>
    </w:pPr>
  </w:style>
  <w:style w:type="paragraph" w:styleId="ListContinue4">
    <w:name w:val="List Continue 4"/>
    <w:basedOn w:val="List4"/>
    <w:rsid w:val="00B62400"/>
    <w:pPr>
      <w:ind w:firstLine="0"/>
    </w:pPr>
  </w:style>
  <w:style w:type="paragraph" w:styleId="ListContinue5">
    <w:name w:val="List Continue 5"/>
    <w:basedOn w:val="List5"/>
    <w:rsid w:val="00B62400"/>
    <w:pPr>
      <w:ind w:firstLine="0"/>
    </w:pPr>
  </w:style>
  <w:style w:type="paragraph" w:styleId="ListNumber3">
    <w:name w:val="List Number 3"/>
    <w:basedOn w:val="List3"/>
    <w:rsid w:val="00B62400"/>
    <w:pPr>
      <w:numPr>
        <w:numId w:val="4"/>
      </w:numPr>
    </w:pPr>
  </w:style>
  <w:style w:type="paragraph" w:styleId="ListNumber4">
    <w:name w:val="List Number 4"/>
    <w:basedOn w:val="List4"/>
    <w:rsid w:val="00B62400"/>
    <w:pPr>
      <w:numPr>
        <w:numId w:val="5"/>
      </w:numPr>
    </w:pPr>
  </w:style>
  <w:style w:type="paragraph" w:styleId="ListNumber5">
    <w:name w:val="List Number 5"/>
    <w:basedOn w:val="List5"/>
    <w:rsid w:val="00B62400"/>
    <w:pPr>
      <w:numPr>
        <w:numId w:val="6"/>
      </w:numPr>
    </w:pPr>
  </w:style>
  <w:style w:type="paragraph" w:styleId="BlockText">
    <w:name w:val="Block Text"/>
    <w:basedOn w:val="Normal"/>
    <w:rsid w:val="00B62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400"/>
    <w:rPr>
      <w:sz w:val="16"/>
      <w:vertAlign w:val="superscript"/>
    </w:rPr>
  </w:style>
  <w:style w:type="character" w:customStyle="1" w:styleId="Symbols">
    <w:name w:val="Symbols"/>
    <w:basedOn w:val="DefaultParagraphFont"/>
    <w:rsid w:val="00B62400"/>
    <w:rPr>
      <w:rFonts w:ascii="Symbol" w:hAnsi="Symbol"/>
    </w:rPr>
  </w:style>
  <w:style w:type="character" w:customStyle="1" w:styleId="MenuOptions">
    <w:name w:val="Menu Options"/>
    <w:basedOn w:val="DefaultParagraphFont"/>
    <w:rsid w:val="00B62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400"/>
    <w:rPr>
      <w:b/>
    </w:rPr>
  </w:style>
  <w:style w:type="character" w:customStyle="1" w:styleId="Underlined">
    <w:name w:val="Underlined"/>
    <w:basedOn w:val="DefaultParagraphFont"/>
    <w:rsid w:val="00B62400"/>
    <w:rPr>
      <w:u w:val="single"/>
    </w:rPr>
  </w:style>
  <w:style w:type="paragraph" w:customStyle="1" w:styleId="TableBodyTextRight">
    <w:name w:val="Table Body Text Right"/>
    <w:basedOn w:val="TableBodyText"/>
    <w:rsid w:val="00B62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400"/>
    <w:rPr>
      <w:sz w:val="18"/>
    </w:rPr>
  </w:style>
  <w:style w:type="paragraph" w:customStyle="1" w:styleId="BodySmallRight">
    <w:name w:val="Body Small Right"/>
    <w:basedOn w:val="BodyTextRight"/>
    <w:rsid w:val="00B62400"/>
    <w:rPr>
      <w:sz w:val="18"/>
      <w:szCs w:val="18"/>
    </w:rPr>
  </w:style>
  <w:style w:type="paragraph" w:customStyle="1" w:styleId="MarginEdition">
    <w:name w:val="Margin Edition"/>
    <w:basedOn w:val="MarginNote"/>
    <w:rsid w:val="00B62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400"/>
    <w:rPr>
      <w:sz w:val="2"/>
      <w:szCs w:val="2"/>
    </w:rPr>
  </w:style>
  <w:style w:type="character" w:customStyle="1" w:styleId="Small">
    <w:name w:val="Small"/>
    <w:basedOn w:val="DefaultParagraphFont"/>
    <w:rsid w:val="00B62400"/>
    <w:rPr>
      <w:sz w:val="16"/>
    </w:rPr>
  </w:style>
  <w:style w:type="paragraph" w:customStyle="1" w:styleId="WideTable">
    <w:name w:val="Wide Table"/>
    <w:basedOn w:val="Normal"/>
    <w:rsid w:val="00B62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400"/>
  </w:style>
  <w:style w:type="paragraph" w:styleId="Quote">
    <w:name w:val="Quote"/>
    <w:basedOn w:val="Heading1"/>
    <w:link w:val="QuoteChar"/>
    <w:qFormat/>
    <w:rsid w:val="00B62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400"/>
    <w:pPr>
      <w:pageBreakBefore/>
    </w:pPr>
  </w:style>
  <w:style w:type="paragraph" w:customStyle="1" w:styleId="Border">
    <w:name w:val="Border"/>
    <w:basedOn w:val="Normal"/>
    <w:qFormat/>
    <w:rsid w:val="00B62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400"/>
    <w:rPr>
      <w:u w:val="single"/>
    </w:rPr>
  </w:style>
  <w:style w:type="character" w:customStyle="1" w:styleId="BoldandItalics">
    <w:name w:val="Bold and Italics"/>
    <w:qFormat/>
    <w:rsid w:val="00B62400"/>
    <w:rPr>
      <w:b/>
      <w:i/>
      <w:u w:val="none"/>
    </w:rPr>
  </w:style>
  <w:style w:type="paragraph" w:styleId="BalloonText">
    <w:name w:val="Balloon Text"/>
    <w:basedOn w:val="Normal"/>
    <w:link w:val="BalloonTextChar"/>
    <w:rsid w:val="00B62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400"/>
    <w:pPr>
      <w:spacing w:before="0" w:after="0"/>
    </w:pPr>
  </w:style>
  <w:style w:type="paragraph" w:customStyle="1" w:styleId="BodyTextBold">
    <w:name w:val="Body Text Bold"/>
    <w:basedOn w:val="BodyText"/>
    <w:qFormat/>
    <w:rsid w:val="00B62400"/>
    <w:rPr>
      <w:b/>
    </w:rPr>
  </w:style>
  <w:style w:type="character" w:styleId="Hyperlink">
    <w:name w:val="Hyperlink"/>
    <w:basedOn w:val="DefaultParagraphFont"/>
    <w:uiPriority w:val="99"/>
    <w:unhideWhenUsed/>
    <w:rsid w:val="00DE0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4570</Characters>
  <Application>Microsoft Office Word</Application>
  <DocSecurity>0</DocSecurity>
  <Lines>182</Lines>
  <Paragraphs>92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TLIL5063 Review contracts, insurance, risk and liability in an international freight forwarding context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