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B23" w:rsidP="00A35B23">
      <w:pPr>
        <w:pStyle w:val="Title"/>
      </w:pPr>
      <w:r>
        <w:fldChar w:fldCharType="begin"/>
      </w:r>
      <w:r>
        <w:instrText xml:space="preserve"> TITLE   \* MERGEFORMAT </w:instrText>
      </w:r>
      <w:r>
        <w:fldChar w:fldCharType="separate"/>
      </w:r>
      <w:r>
        <w:t>TLIL5055 Manage a supply chain</w:t>
      </w:r>
      <w:r>
        <w:fldChar w:fldCharType="end"/>
      </w:r>
    </w:p>
    <w:p w:rsidR="00A35B23" w:rsidP="00A35B23">
      <w:pPr>
        <w:pStyle w:val="Version"/>
        <w:sectPr w:rsidSect="00F26F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6F50" w:rsidP="00F26F50">
      <w:pPr>
        <w:pStyle w:val="SuperHeading"/>
      </w:pPr>
      <w:r w:rsidRPr="00F26F50">
        <w:t>TLIL5055 Manage a supply chain</w:t>
      </w:r>
    </w:p>
    <w:p w:rsidR="00000000" w:rsidRPr="00F26F50" w:rsidP="00F26F50">
      <w:pPr>
        <w:pStyle w:val="Heading1"/>
      </w:pPr>
      <w:bookmarkStart w:id="1" w:name="O_848430"/>
      <w:bookmarkEnd w:id="1"/>
      <w:r w:rsidRPr="00F26F50">
        <w:t>Modification History</w:t>
      </w:r>
    </w:p>
    <w:p w:rsidR="00000000" w:rsidRPr="00F26F50" w:rsidP="00A35B23">
      <w:pPr>
        <w:pStyle w:val="BodyText"/>
      </w:pPr>
      <w:r w:rsidRPr="00F26F50">
        <w:t>Release 2. ISC Upgrade - Reference to the Trade Practice Act removed from knowledge evidence.</w:t>
      </w:r>
    </w:p>
    <w:p w:rsidR="00A35B23" w:rsidP="00A35B23">
      <w:pPr>
        <w:pStyle w:val="BodyText"/>
      </w:pPr>
      <w:r w:rsidRPr="00F26F50">
        <w:t>Release 1. This is the first release of this unit of competency in the TLI Transport and Logistics Training Package.</w:t>
      </w:r>
    </w:p>
    <w:p w:rsidR="00000000" w:rsidRPr="00F26F50" w:rsidP="00F26F50">
      <w:pPr>
        <w:pStyle w:val="Heading1"/>
      </w:pPr>
      <w:bookmarkStart w:id="2" w:name="O_848429"/>
      <w:bookmarkEnd w:id="2"/>
      <w:r w:rsidRPr="00F26F50">
        <w:t>Applic</w:t>
      </w:r>
      <w:r w:rsidRPr="00F26F50">
        <w:t>ation</w:t>
      </w:r>
    </w:p>
    <w:p w:rsidR="00000000" w:rsidRPr="00F26F50" w:rsidP="00A35B23">
      <w:pPr>
        <w:pStyle w:val="BodyText"/>
      </w:pPr>
      <w:r w:rsidRPr="00F26F50">
        <w:t xml:space="preserve">This unit involves the skills and knowledge required to manage a supply chain within various contexts in the transport and logistics industry. It covers the relationships between an organisation and its supply and demand partners along the chain. </w:t>
      </w:r>
    </w:p>
    <w:p w:rsidR="00000000" w:rsidRPr="00F26F50" w:rsidP="00A35B23">
      <w:pPr>
        <w:pStyle w:val="BodyText"/>
      </w:pPr>
      <w:r w:rsidRPr="00F26F50">
        <w:t>It</w:t>
      </w:r>
      <w:r w:rsidRPr="00F26F50">
        <w:t xml:space="preserve"> includes implementing a demand-driven supply chain management strategy, managing the supply chain, and evaluating and improving supply chain effectiveness. </w:t>
      </w:r>
    </w:p>
    <w:p w:rsidR="00000000" w:rsidRPr="00F26F50" w:rsidP="00A35B23">
      <w:pPr>
        <w:pStyle w:val="BodyText"/>
      </w:pPr>
      <w:r w:rsidRPr="00F26F50">
        <w:t>The unit generally applies to those who lead individuals or teams.</w:t>
      </w:r>
    </w:p>
    <w:p w:rsidR="00A35B23" w:rsidP="00A35B23">
      <w:pPr>
        <w:pStyle w:val="BodyText"/>
      </w:pPr>
      <w:r w:rsidRPr="00F26F50">
        <w:t>No licensing, legislative or ce</w:t>
      </w:r>
      <w:r w:rsidRPr="00F26F50">
        <w:t>rtification requirements apply to this unit at the time of publication.</w:t>
      </w:r>
    </w:p>
    <w:p w:rsidR="00000000" w:rsidRPr="00F26F50" w:rsidP="00F26F50">
      <w:pPr>
        <w:pStyle w:val="Heading1"/>
      </w:pPr>
      <w:bookmarkStart w:id="3" w:name="O_848428"/>
      <w:bookmarkEnd w:id="3"/>
      <w:r w:rsidRPr="00F26F50">
        <w:t>Pre-requisite Unit</w:t>
      </w:r>
    </w:p>
    <w:p w:rsidR="00000000" w:rsidRPr="00F26F50" w:rsidP="00A35B23">
      <w:pPr>
        <w:pStyle w:val="BodyText"/>
      </w:pPr>
      <w:r w:rsidRPr="00F26F50">
        <w:t>Not applicable.</w:t>
      </w:r>
    </w:p>
    <w:p w:rsidR="00000000" w:rsidRPr="00F26F50" w:rsidP="00F26F50">
      <w:pPr>
        <w:pStyle w:val="Heading1"/>
      </w:pPr>
      <w:bookmarkStart w:id="4" w:name="O_848427"/>
      <w:bookmarkEnd w:id="4"/>
      <w:r w:rsidRPr="00F26F50">
        <w:t>Competency Field</w:t>
      </w:r>
    </w:p>
    <w:p w:rsidR="00000000" w:rsidRPr="00F26F50" w:rsidP="00A35B23">
      <w:pPr>
        <w:pStyle w:val="BodyText"/>
      </w:pPr>
      <w:r w:rsidRPr="00F26F50">
        <w:t>L ‒ Resource Management</w:t>
      </w:r>
    </w:p>
    <w:p w:rsidR="00000000" w:rsidRPr="00F26F50" w:rsidP="00F26F50">
      <w:pPr>
        <w:pStyle w:val="Heading1"/>
      </w:pPr>
      <w:bookmarkStart w:id="5" w:name="O_848426"/>
      <w:bookmarkEnd w:id="5"/>
      <w:r w:rsidRPr="00F26F50">
        <w:t>Unit Sector</w:t>
      </w:r>
    </w:p>
    <w:p w:rsidR="00000000" w:rsidRPr="00F26F50" w:rsidP="00A35B23">
      <w:pPr>
        <w:pStyle w:val="BodyText"/>
      </w:pPr>
      <w:r w:rsidRPr="00F26F50">
        <w:t>Not applicable.</w:t>
      </w:r>
    </w:p>
    <w:p w:rsidR="00000000" w:rsidRPr="00F26F50" w:rsidP="00F26F50">
      <w:pPr>
        <w:pStyle w:val="Heading1"/>
      </w:pPr>
      <w:bookmarkStart w:id="6" w:name="O_848425"/>
      <w:bookmarkEnd w:id="6"/>
      <w:r w:rsidRPr="00F26F50">
        <w:t>Elements an</w:t>
      </w:r>
      <w:r w:rsidRPr="00F26F50">
        <w:t>d Performance Criteria</w:t>
      </w:r>
    </w:p>
    <w:tbl>
      <w:tblPr>
        <w:tblW w:w="9499" w:type="dxa"/>
        <w:tblLayout w:type="fixed"/>
        <w:tblCellMar>
          <w:left w:w="62" w:type="dxa"/>
          <w:right w:w="62" w:type="dxa"/>
        </w:tblCellMar>
        <w:tblLook w:val="0000"/>
      </w:tblPr>
      <w:tblGrid>
        <w:gridCol w:w="432"/>
        <w:gridCol w:w="2303"/>
        <w:gridCol w:w="719"/>
        <w:gridCol w:w="6045"/>
      </w:tblGrid>
      <w:tr w:rsidTr="00A35B2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26F50" w:rsidP="00F26F50">
            <w:pPr>
              <w:pStyle w:val="BodyText"/>
            </w:pPr>
            <w:r w:rsidRPr="00F26F5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rPr>
                <w:rStyle w:val="SpecialBold"/>
              </w:rPr>
              <w:t>PERFORMANCE CRITERIA</w:t>
            </w:r>
          </w:p>
        </w:tc>
      </w:tr>
      <w:tr w:rsidTr="00A35B2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Performance criteria describe the performance needed to demonstrate achievement of the element.</w:t>
            </w:r>
          </w:p>
        </w:tc>
      </w:tr>
      <w:tr w:rsidTr="00A35B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26F50" w:rsidP="00F26F50">
            <w:pPr>
              <w:pStyle w:val="BodyText"/>
            </w:pPr>
            <w:r w:rsidRPr="00F26F5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rPr>
                <w:rStyle w:val="SpecialBold"/>
              </w:rPr>
              <w:t xml:space="preserve">Implement </w:t>
            </w:r>
            <w:r w:rsidRPr="00F26F50">
              <w:rPr>
                <w:rStyle w:val="SpecialBold"/>
              </w:rPr>
              <w:t>demand-driven supply chain management strategy</w:t>
            </w: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1.1</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 xml:space="preserve">Responsibility for supply chain management within the </w:t>
            </w:r>
            <w:r w:rsidRPr="00F26F50">
              <w:t>organisation is assigned in accordance with the strategy</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1.2</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Technology and software for implementin</w:t>
            </w:r>
            <w:r w:rsidRPr="00F26F50">
              <w:t>g the strategy is accessed and operationalised within the requirements of the strategy and budgetary allocation</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1.3</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Policies and procedures are designed to guide business relations and operations in accordance with the strategy</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1.4</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Supporting busines</w:t>
            </w:r>
            <w:r w:rsidRPr="00F26F50">
              <w:t>s processes are designed or re-designed to support implementation of the strategy</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1.5</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Support is provided to staff, customers and supply chain to assist in implementation of the strategy</w:t>
            </w:r>
          </w:p>
        </w:tc>
      </w:tr>
      <w:tr w:rsidTr="00A35B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26F50" w:rsidP="00F26F50">
            <w:pPr>
              <w:pStyle w:val="BodyText"/>
            </w:pPr>
            <w:r w:rsidRPr="00F26F5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rPr>
                <w:rStyle w:val="SpecialBold"/>
              </w:rPr>
              <w:t>Manage supply chain</w:t>
            </w: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2.1</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Communication and information exchange with strategic partners and suppliers is managed in accordance with the supply chain management strategy</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2.2</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Collaboration with supply chain organisations is facilitated to determine demand at each level of the sup</w:t>
            </w:r>
            <w:r w:rsidRPr="00F26F50">
              <w:t>ply chain in accordance with the strategy</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2.3</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Sales and payments are managed in accordance with supply chain and risk management strategies, and legal and ethical requirements</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2.4</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Actions to build trust and foster a supply chain culture are implemented in accordance with the strategy</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2.5</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Opportunities are identified to adjust policies and procedures to respond to the changing needs of customers, supply chain and the organisation</w:t>
            </w:r>
          </w:p>
        </w:tc>
      </w:tr>
      <w:tr w:rsidTr="00A35B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26F50" w:rsidP="00F26F50">
            <w:pPr>
              <w:pStyle w:val="BodyText"/>
            </w:pPr>
            <w:r w:rsidRPr="00F26F5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rPr>
                <w:rStyle w:val="SpecialBold"/>
              </w:rPr>
              <w:t>Evaluate and improve supply chain effectiveness</w:t>
            </w: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3.1</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Demand chain management and supply chain management are monitored in accordance with the supply chain management strategy</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3.2</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Effectiveness of the supply chain is reviewed with each level of the supply chain, including staff and customers, and areas are identified for improvement</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3.3</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Business data and reports are used to compare outcomes, budgets, timelines and forecasts to ac</w:t>
            </w:r>
            <w:r w:rsidRPr="00F26F50">
              <w:t>tual performance</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3.4</w:t>
            </w:r>
          </w:p>
        </w:tc>
        <w:tc>
          <w:tcPr>
            <w:tcW w:w="6045"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Technology performance is reviewed and recommendations are made for improvements to hardware, software and/or their use, in accordance with strategy and budget</w:t>
            </w:r>
          </w:p>
        </w:tc>
      </w:tr>
      <w:tr w:rsidTr="00A35B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3.5</w:t>
            </w:r>
          </w:p>
        </w:tc>
        <w:tc>
          <w:tcPr>
            <w:tcW w:w="6045" w:type="dxa"/>
            <w:tcBorders>
              <w:top w:val="nil"/>
              <w:left w:val="nil"/>
              <w:bottom w:val="nil"/>
              <w:right w:val="nil"/>
            </w:tcBorders>
            <w:tcMar>
              <w:top w:w="0" w:type="dxa"/>
              <w:left w:w="62" w:type="dxa"/>
              <w:bottom w:w="0" w:type="dxa"/>
              <w:right w:w="62" w:type="dxa"/>
            </w:tcMar>
          </w:tcPr>
          <w:p w:rsidR="00000000" w:rsidRPr="00F26F50" w:rsidP="00F26F50">
            <w:pPr>
              <w:pStyle w:val="BodyText"/>
            </w:pPr>
            <w:r w:rsidRPr="00F26F50">
              <w:t xml:space="preserve">Feedback and evaluation results are used to plan and improve </w:t>
            </w:r>
            <w:r w:rsidRPr="00F26F50">
              <w:t>futu</w:t>
            </w:r>
            <w:r w:rsidRPr="00F26F50">
              <w:t>re supply chain management strategies</w:t>
            </w:r>
          </w:p>
        </w:tc>
      </w:tr>
    </w:tbl>
    <w:p w:rsidR="00A35B23" w:rsidP="00F26F50">
      <w:pPr>
        <w:pStyle w:val="BodyText"/>
      </w:pPr>
    </w:p>
    <w:p w:rsidR="00A35B23" w:rsidP="00F26F50">
      <w:pPr>
        <w:pStyle w:val="BodyText"/>
      </w:pPr>
    </w:p>
    <w:p w:rsidR="00000000" w:rsidRPr="00F26F50" w:rsidP="00F26F50">
      <w:pPr>
        <w:pStyle w:val="Heading1"/>
      </w:pPr>
      <w:bookmarkStart w:id="7" w:name="O_848424"/>
      <w:bookmarkEnd w:id="7"/>
      <w:r w:rsidRPr="00F26F50">
        <w:t>Foundation Skills</w:t>
      </w:r>
    </w:p>
    <w:p w:rsidR="00000000" w:rsidRPr="00F26F50" w:rsidP="00A35B23">
      <w:pPr>
        <w:pStyle w:val="BodyText"/>
      </w:pPr>
      <w:r w:rsidRPr="00F26F50">
        <w:t>Foundation skills essential to performance are explicit in the performance criteria of this unit of competency.</w:t>
      </w:r>
    </w:p>
    <w:p w:rsidR="00000000" w:rsidRPr="00F26F50" w:rsidP="00F26F50">
      <w:pPr>
        <w:pStyle w:val="Heading1"/>
      </w:pPr>
      <w:bookmarkStart w:id="8" w:name="O_848423"/>
      <w:bookmarkEnd w:id="8"/>
      <w:r w:rsidRPr="00F26F50">
        <w:t>Range of Conditions</w:t>
      </w:r>
    </w:p>
    <w:p w:rsidR="00000000" w:rsidRPr="00F26F50" w:rsidP="00A35B23">
      <w:pPr>
        <w:pStyle w:val="BodyText"/>
      </w:pPr>
      <w:r w:rsidRPr="00F26F50">
        <w:t>Range is restricted to essential operating conditions and any other variables essential to the work environment.</w:t>
      </w:r>
    </w:p>
    <w:p w:rsidR="00A35B23" w:rsidP="00A35B23">
      <w:pPr>
        <w:pStyle w:val="BodyText"/>
      </w:pPr>
      <w:r w:rsidRPr="00F26F50">
        <w:t>Non-essential conditions can be found in the Companion Volume Implementation Guide.</w:t>
      </w:r>
    </w:p>
    <w:p w:rsidR="00000000" w:rsidRPr="00F26F50" w:rsidP="00F26F50">
      <w:pPr>
        <w:pStyle w:val="Heading1"/>
      </w:pPr>
      <w:bookmarkStart w:id="9" w:name="O_848422"/>
      <w:bookmarkEnd w:id="9"/>
      <w:r w:rsidRPr="00F26F50">
        <w:t>Unit Mapping Information</w:t>
      </w:r>
    </w:p>
    <w:p w:rsidR="00A35B23" w:rsidP="00A35B23">
      <w:pPr>
        <w:pStyle w:val="BodyText"/>
      </w:pPr>
      <w:r w:rsidRPr="00F26F50">
        <w:t>This unit replac</w:t>
      </w:r>
      <w:r w:rsidRPr="00F26F50">
        <w:t>es and is equivalent to TLIL5055A Manage a supply chain.</w:t>
      </w:r>
    </w:p>
    <w:p w:rsidR="00000000" w:rsidRPr="00F26F50" w:rsidP="00F26F50">
      <w:pPr>
        <w:pStyle w:val="Heading1"/>
      </w:pPr>
      <w:bookmarkStart w:id="10" w:name="O_848431"/>
      <w:bookmarkEnd w:id="10"/>
      <w:r w:rsidRPr="00F26F50">
        <w:t>Links</w:t>
      </w:r>
    </w:p>
    <w:p w:rsidR="00000000" w:rsidRPr="00F26F50" w:rsidP="00A35B23">
      <w:pPr>
        <w:pStyle w:val="BodyText"/>
      </w:pPr>
      <w:r w:rsidRPr="00F26F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9782F">
        <w:rPr>
          <w:rStyle w:val="Hyperlink"/>
        </w:rPr>
        <w:t>https://vetnet.gov.au/Pages/TrainingDocs.aspx?q=df441c6e-213d-43e3-874c-0b3f7036d851</w:t>
      </w:r>
      <w:r>
        <w:fldChar w:fldCharType="end"/>
      </w:r>
    </w:p>
    <w:p w:rsidR="00000000" w:rsidRPr="00F26F50" w:rsidP="00A35B23">
      <w:pPr>
        <w:pStyle w:val="BodyText"/>
        <w:sectPr w:rsidSect="00F26F50">
          <w:headerReference w:type="default" r:id="rId10"/>
          <w:footerReference w:type="default" r:id="rId11"/>
          <w:pgSz w:w="11908" w:h="16833"/>
          <w:pgMar w:top="1702" w:right="1418" w:bottom="1702" w:left="1418" w:header="992" w:footer="992" w:gutter="0"/>
          <w:cols w:space="720"/>
          <w:noEndnote/>
          <w:docGrid w:linePitch="299"/>
        </w:sectPr>
      </w:pPr>
    </w:p>
    <w:p w:rsidR="00000000" w:rsidRPr="00F26F50" w:rsidP="00F26F50">
      <w:pPr>
        <w:pStyle w:val="SuperHeading"/>
      </w:pPr>
      <w:r w:rsidRPr="00F26F50">
        <w:t>Assessment Requirements for TLIL5055 Manage a supply chain</w:t>
      </w:r>
    </w:p>
    <w:p w:rsidR="00000000" w:rsidRPr="00F26F50" w:rsidP="00F26F50">
      <w:pPr>
        <w:pStyle w:val="Heading1"/>
      </w:pPr>
      <w:bookmarkStart w:id="11" w:name="O_848420"/>
      <w:bookmarkEnd w:id="11"/>
      <w:r w:rsidRPr="00F26F50">
        <w:t>Modification History</w:t>
      </w:r>
    </w:p>
    <w:p w:rsidR="00000000" w:rsidRPr="00F26F50" w:rsidP="00A35B23">
      <w:pPr>
        <w:pStyle w:val="BodyText"/>
      </w:pPr>
      <w:r w:rsidRPr="00F26F50">
        <w:t>Release 2. ISC Upgrade - Reference to the Trade Practice Act removed from knowledge evidence.</w:t>
      </w:r>
    </w:p>
    <w:p w:rsidR="00A35B23" w:rsidP="00A35B23">
      <w:pPr>
        <w:pStyle w:val="BodyText"/>
      </w:pPr>
      <w:r w:rsidRPr="00F26F50">
        <w:t>Release 1. This is the first release of this uni</w:t>
      </w:r>
      <w:r w:rsidRPr="00F26F50">
        <w:t>t of competency in the TLI Transport and Logistics Training Package.</w:t>
      </w:r>
    </w:p>
    <w:p w:rsidR="00000000" w:rsidRPr="00F26F50" w:rsidP="00F26F50">
      <w:pPr>
        <w:pStyle w:val="Heading1"/>
      </w:pPr>
      <w:bookmarkStart w:id="12" w:name="O_848419"/>
      <w:bookmarkEnd w:id="12"/>
      <w:r w:rsidRPr="00F26F50">
        <w:t>Performance Evidence</w:t>
      </w:r>
    </w:p>
    <w:tbl>
      <w:tblPr>
        <w:tblW w:w="0" w:type="auto"/>
        <w:tblCellMar>
          <w:left w:w="62" w:type="dxa"/>
          <w:right w:w="62" w:type="dxa"/>
        </w:tblCellMar>
        <w:tblLook w:val="0000"/>
      </w:tblPr>
      <w:tblGrid>
        <w:gridCol w:w="9196"/>
      </w:tblGrid>
      <w:tr w:rsidTr="00A35B23">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Evidence required to demonstrate competence in this unit must be relevant to and satisfy all of the requirements of the elements and performance criteria on at least one occasion and include:</w:t>
            </w:r>
          </w:p>
        </w:tc>
      </w:tr>
      <w:tr w:rsidTr="00A35B2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26F50" w:rsidP="00F26F50">
            <w:pPr>
              <w:pStyle w:val="ListBullet2"/>
            </w:pPr>
            <w:r w:rsidRPr="00F26F50">
              <w:t>applying relevant legislation and workplace procedures</w:t>
            </w:r>
          </w:p>
          <w:p w:rsidR="00000000" w:rsidRPr="00F26F50" w:rsidP="00F26F50">
            <w:pPr>
              <w:pStyle w:val="ListBullet2"/>
            </w:pPr>
            <w:r w:rsidRPr="00F26F50">
              <w:t>developing and implementing policies</w:t>
            </w:r>
          </w:p>
          <w:p w:rsidR="00000000" w:rsidRPr="00F26F50" w:rsidP="00F26F50">
            <w:pPr>
              <w:pStyle w:val="ListBullet2"/>
            </w:pPr>
            <w:r w:rsidRPr="00F26F50">
              <w:t>focusing on the customer</w:t>
            </w:r>
          </w:p>
          <w:p w:rsidR="00000000" w:rsidRPr="00F26F50" w:rsidP="00F26F50">
            <w:pPr>
              <w:pStyle w:val="ListBullet2"/>
            </w:pPr>
            <w:r w:rsidRPr="00F26F50">
              <w:t>implementing, managing and reviewing management strategies</w:t>
            </w:r>
          </w:p>
          <w:p w:rsidR="00000000" w:rsidRPr="00F26F50" w:rsidP="00F26F50">
            <w:pPr>
              <w:pStyle w:val="ListBullet2"/>
            </w:pPr>
            <w:r w:rsidRPr="00F26F50">
              <w:t xml:space="preserve">implementing contingency plans </w:t>
            </w:r>
          </w:p>
          <w:p w:rsidR="00000000" w:rsidRPr="00F26F50" w:rsidP="00F26F50">
            <w:pPr>
              <w:pStyle w:val="ListBullet2"/>
            </w:pPr>
            <w:r w:rsidRPr="00F26F50">
              <w:t xml:space="preserve">negotiating and liaising with suppliers and relevant stakeholders, verbally and in writing </w:t>
            </w:r>
          </w:p>
          <w:p w:rsidR="00000000" w:rsidRPr="00F26F50" w:rsidP="00F26F50">
            <w:pPr>
              <w:pStyle w:val="ListBullet2"/>
            </w:pPr>
            <w:r w:rsidRPr="00F26F50">
              <w:t>using appro</w:t>
            </w:r>
            <w:r w:rsidRPr="00F26F50">
              <w:t>priate technology, including software</w:t>
            </w:r>
          </w:p>
          <w:p w:rsidR="00000000" w:rsidRPr="00F26F50" w:rsidP="00F26F50">
            <w:pPr>
              <w:pStyle w:val="ListBullet2"/>
            </w:pPr>
            <w:r w:rsidRPr="00F26F50">
              <w:t>working collaboratively with others</w:t>
            </w:r>
          </w:p>
          <w:p w:rsidR="00000000" w:rsidRPr="00F26F50" w:rsidP="00F26F50">
            <w:pPr>
              <w:pStyle w:val="ListBullet2"/>
            </w:pPr>
            <w:r w:rsidRPr="00F26F50">
              <w:t>working with attention to detail and thoroughness.</w:t>
            </w:r>
          </w:p>
        </w:tc>
      </w:tr>
    </w:tbl>
    <w:p w:rsidR="00000000" w:rsidRPr="00F26F50" w:rsidP="00F26F50">
      <w:pPr>
        <w:pStyle w:val="BodyText"/>
      </w:pPr>
    </w:p>
    <w:p w:rsidR="00000000" w:rsidRPr="00F26F50" w:rsidP="00F26F50">
      <w:pPr>
        <w:pStyle w:val="AllowPageBreak"/>
      </w:pPr>
    </w:p>
    <w:p w:rsidR="00000000" w:rsidRPr="00F26F50" w:rsidP="00F26F50">
      <w:pPr>
        <w:pStyle w:val="Heading1"/>
      </w:pPr>
      <w:bookmarkStart w:id="13" w:name="O_848418"/>
      <w:bookmarkEnd w:id="13"/>
      <w:r w:rsidRPr="00F26F50">
        <w:t>Knowledge Evidence</w:t>
      </w:r>
    </w:p>
    <w:tbl>
      <w:tblPr>
        <w:tblW w:w="0" w:type="auto"/>
        <w:tblCellMar>
          <w:left w:w="62" w:type="dxa"/>
          <w:right w:w="62" w:type="dxa"/>
        </w:tblCellMar>
        <w:tblLook w:val="0000"/>
      </w:tblPr>
      <w:tblGrid>
        <w:gridCol w:w="9196"/>
      </w:tblGrid>
      <w:tr w:rsidTr="00A35B23">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F26F50">
            <w:pPr>
              <w:pStyle w:val="BodyText"/>
              <w:rPr>
                <w:lang w:val="en-NZ"/>
              </w:rPr>
            </w:pPr>
            <w:r w:rsidRPr="00F26F50">
              <w:t>Evidence required to demonstrate competence in this unit must be relevant to and satisfy all of the requirements of the elements and performance criteria and include knowledge of:</w:t>
            </w:r>
          </w:p>
        </w:tc>
      </w:tr>
      <w:tr w:rsidTr="00A35B23">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F26F50" w:rsidP="00F26F50">
            <w:pPr>
              <w:pStyle w:val="ListBullet2"/>
            </w:pPr>
            <w:r w:rsidRPr="00F26F50">
              <w:t>business terms and conditions for purchasing, tendering and contracting</w:t>
            </w:r>
          </w:p>
          <w:p w:rsidR="00000000" w:rsidRPr="00F26F50" w:rsidP="00F26F50">
            <w:pPr>
              <w:pStyle w:val="ListBullet2"/>
            </w:pPr>
            <w:r w:rsidRPr="00F26F50">
              <w:t>et</w:t>
            </w:r>
            <w:r w:rsidRPr="00F26F50">
              <w:t>hical behaviour</w:t>
            </w:r>
          </w:p>
          <w:p w:rsidR="00000000" w:rsidRPr="00F26F50" w:rsidP="00F26F50">
            <w:pPr>
              <w:pStyle w:val="ListBullet2"/>
            </w:pPr>
            <w:r w:rsidRPr="00F26F50">
              <w:t>legislation related to importing commodities</w:t>
            </w:r>
          </w:p>
          <w:p w:rsidR="00000000" w:rsidRPr="00F26F50" w:rsidP="00F26F50">
            <w:pPr>
              <w:pStyle w:val="ListBullet2"/>
            </w:pPr>
            <w:r w:rsidRPr="00F26F50">
              <w:t>legislation, codes of practice, national and international standards applicable Acts and contract law</w:t>
            </w:r>
          </w:p>
          <w:p w:rsidR="00000000" w:rsidRPr="00F26F50" w:rsidP="00F26F50">
            <w:pPr>
              <w:pStyle w:val="ListBullet2"/>
            </w:pPr>
            <w:r w:rsidRPr="00F26F50">
              <w:t>organisational policies and procedures related to supply chain management, purchasing, contracting and tendering</w:t>
            </w:r>
          </w:p>
          <w:p w:rsidR="00000000" w:rsidRPr="00F26F50" w:rsidP="00F26F50">
            <w:pPr>
              <w:pStyle w:val="ListBullet2"/>
            </w:pPr>
            <w:r w:rsidRPr="00F26F50">
              <w:t>procedures for operating electronic communications equipment</w:t>
            </w:r>
          </w:p>
          <w:p w:rsidR="00000000" w:rsidRPr="00F26F50" w:rsidP="00F26F50">
            <w:pPr>
              <w:pStyle w:val="ListBullet2"/>
            </w:pPr>
            <w:r w:rsidRPr="00F26F50">
              <w:t>product knowledge related to goods and services required by the organisation</w:t>
            </w:r>
          </w:p>
          <w:p w:rsidR="00000000" w:rsidRPr="00F26F50" w:rsidP="00F26F50">
            <w:pPr>
              <w:pStyle w:val="ListBullet2"/>
            </w:pPr>
            <w:r w:rsidRPr="00F26F50">
              <w:t>requi</w:t>
            </w:r>
            <w:r w:rsidRPr="00F26F50">
              <w:t>rements for completing relevant documentation</w:t>
            </w:r>
          </w:p>
          <w:p w:rsidR="00000000" w:rsidRPr="00F26F50" w:rsidP="00F26F50">
            <w:pPr>
              <w:pStyle w:val="ListBullet2"/>
            </w:pPr>
            <w:r w:rsidRPr="00F26F50">
              <w:t>ways to build trust and collaboration as opposed to competition.</w:t>
            </w:r>
          </w:p>
        </w:tc>
      </w:tr>
    </w:tbl>
    <w:p w:rsidR="00000000" w:rsidRPr="00F26F50" w:rsidP="00F26F50">
      <w:pPr>
        <w:pStyle w:val="BodyText"/>
      </w:pPr>
    </w:p>
    <w:p w:rsidR="00000000" w:rsidRPr="00F26F50" w:rsidP="00F26F50">
      <w:pPr>
        <w:pStyle w:val="AllowPageBreak"/>
      </w:pPr>
    </w:p>
    <w:p w:rsidR="00000000" w:rsidRPr="00F26F50" w:rsidP="00F26F50">
      <w:pPr>
        <w:pStyle w:val="Heading1"/>
      </w:pPr>
      <w:bookmarkStart w:id="14" w:name="O_848417"/>
      <w:bookmarkEnd w:id="14"/>
      <w:r w:rsidRPr="00F26F50">
        <w:t>Assessment Conditions</w:t>
      </w:r>
    </w:p>
    <w:p w:rsidR="00000000" w:rsidRPr="00F26F50" w:rsidP="00A35B23">
      <w:pPr>
        <w:pStyle w:val="BodyText"/>
      </w:pPr>
      <w:r w:rsidRPr="00F26F50">
        <w:t>As a minimum, assessors must satisfy applicable regulatory requirements, which include requirements in t</w:t>
      </w:r>
      <w:r w:rsidRPr="00F26F50">
        <w:t xml:space="preserve">he Standards for Registered Training Organisations, current at the time of assessment. </w:t>
      </w:r>
    </w:p>
    <w:p w:rsidR="00000000" w:rsidRPr="00F26F50" w:rsidP="00A35B23">
      <w:pPr>
        <w:pStyle w:val="BodyText"/>
      </w:pPr>
      <w:r w:rsidRPr="00F26F50">
        <w:t xml:space="preserve">As a minimum, assessment must satisfy applicable regulatory requirements, which include requirements in the Standards for Registered Training Organisations, current at </w:t>
      </w:r>
      <w:r w:rsidRPr="00F26F50">
        <w:t>the time of assessment.</w:t>
      </w:r>
    </w:p>
    <w:p w:rsidR="00000000" w:rsidRPr="00F26F50" w:rsidP="00A35B23">
      <w:pPr>
        <w:pStyle w:val="BodyText"/>
      </w:pPr>
      <w:r w:rsidRPr="00F26F50">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F26F50" w:rsidP="00A35B23">
      <w:pPr>
        <w:pStyle w:val="BodyText"/>
      </w:pPr>
      <w:r w:rsidRPr="00F26F50">
        <w:t>Ass</w:t>
      </w:r>
      <w:r w:rsidRPr="00F26F50">
        <w:t>essment processes and techniques must be appropriate to the language, literacy and numeracy requirements of the work being performed and the needs of the candidate.</w:t>
      </w:r>
    </w:p>
    <w:p w:rsidR="00000000" w:rsidRPr="00F26F50" w:rsidP="00A35B23">
      <w:pPr>
        <w:pStyle w:val="BodyText"/>
      </w:pPr>
      <w:r w:rsidRPr="00F26F50">
        <w:t>Resources for assessment include:</w:t>
      </w:r>
    </w:p>
    <w:p w:rsidR="00000000" w:rsidRPr="00F26F50" w:rsidP="00F26F50">
      <w:pPr>
        <w:pStyle w:val="ListBullet2"/>
      </w:pPr>
      <w:r w:rsidRPr="00F26F50">
        <w:t>a range of relevant exercises, case studies and/or other simulations</w:t>
      </w:r>
    </w:p>
    <w:p w:rsidR="00000000" w:rsidRPr="00F26F50" w:rsidP="00F26F50">
      <w:pPr>
        <w:pStyle w:val="ListBullet2"/>
      </w:pPr>
      <w:r w:rsidRPr="00F26F50">
        <w:t xml:space="preserve">relevant and appropriate materials, tools, equipment and personal protective equipment currently used in industry </w:t>
      </w:r>
    </w:p>
    <w:p w:rsidR="00A35B23" w:rsidP="00F26F50">
      <w:pPr>
        <w:pStyle w:val="ListBullet2"/>
      </w:pPr>
      <w:r w:rsidRPr="00F26F50">
        <w:t>applicable documentation including workplace procedures, regulations, co</w:t>
      </w:r>
      <w:r w:rsidRPr="00F26F50">
        <w:t>des of practice and operation manuals.</w:t>
      </w:r>
    </w:p>
    <w:p w:rsidR="00A35B23" w:rsidP="00F26F50">
      <w:pPr>
        <w:pStyle w:val="ListBullet2"/>
      </w:pPr>
    </w:p>
    <w:p w:rsidR="00000000" w:rsidRPr="00F26F50" w:rsidP="00F26F50">
      <w:pPr>
        <w:pStyle w:val="Heading1"/>
      </w:pPr>
      <w:bookmarkStart w:id="15" w:name="O_848432"/>
      <w:bookmarkEnd w:id="15"/>
      <w:r w:rsidRPr="00F26F50">
        <w:t>Links</w:t>
      </w:r>
    </w:p>
    <w:p w:rsidR="00000000" w:rsidRPr="00F26F50" w:rsidP="00A35B23">
      <w:pPr>
        <w:pStyle w:val="BodyText"/>
      </w:pPr>
      <w:r w:rsidRPr="00F26F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9782F">
        <w:rPr>
          <w:rStyle w:val="Hyperlink"/>
        </w:rPr>
        <w:t>https://vetnet.gov.au/Pages/TrainingDocs.aspx?q=df441c6e-213d-43e3-874c-0b3f7036d851</w:t>
      </w:r>
      <w:r>
        <w:fldChar w:fldCharType="end"/>
      </w:r>
    </w:p>
    <w:p w:rsidR="00000000" w:rsidRPr="00F26F50" w:rsidP="00F26F50"/>
    <w:sectPr w:rsidSect="00F26F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0" w:rsidRPr="00A35B23" w:rsidP="00A35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B23" w:rsidP="00F26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5B23" w:rsidP="00F26F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35B23" w:rsidP="00F26F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0" w:rsidP="00F26F50">
    <w:pPr>
      <w:pStyle w:val="Footer"/>
      <w:framePr w:wrap="around"/>
    </w:pPr>
    <w:r>
      <w:fldChar w:fldCharType="begin"/>
    </w:r>
    <w:r>
      <w:instrText xml:space="preserve"> DOCPROPERTY  Subject  \* MERGEFORMAT </w:instrText>
    </w:r>
    <w:r>
      <w:fldChar w:fldCharType="separate"/>
    </w:r>
    <w:r w:rsidR="00A35B23">
      <w:t>Approved</w:t>
    </w:r>
    <w:r w:rsidR="00A35B23">
      <w:fldChar w:fldCharType="end"/>
    </w:r>
    <w:r>
      <w:tab/>
      <w:t xml:space="preserve">Page </w:t>
    </w:r>
    <w:r>
      <w:fldChar w:fldCharType="begin"/>
    </w:r>
    <w:r>
      <w:instrText xml:space="preserve"> PAGE  \* Arabic  \* MERGEFORMAT </w:instrText>
    </w:r>
    <w:r>
      <w:fldChar w:fldCharType="separate"/>
    </w:r>
    <w:r w:rsidR="00A35B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5B23">
      <w:rPr>
        <w:noProof/>
      </w:rPr>
      <w:t>4</w:t>
    </w:r>
    <w:r>
      <w:rPr>
        <w:noProof/>
      </w:rPr>
      <w:fldChar w:fldCharType="end"/>
    </w:r>
  </w:p>
  <w:p w:rsidR="00F26F50" w:rsidP="00F26F50">
    <w:pPr>
      <w:pStyle w:val="Footer"/>
      <w:framePr w:wrap="around"/>
    </w:pPr>
    <w:r>
      <w:t xml:space="preserve">© Commonwealth of Australia, </w:t>
    </w:r>
    <w:r>
      <w:fldChar w:fldCharType="begin"/>
    </w:r>
    <w:r>
      <w:instrText xml:space="preserve"> DATE  \@ "yyyy"  \* MERGEFORMAT </w:instrText>
    </w:r>
    <w:r>
      <w:fldChar w:fldCharType="separate"/>
    </w:r>
    <w:r w:rsidR="00A35B23">
      <w:rPr>
        <w:noProof/>
      </w:rPr>
      <w:t>2025</w:t>
    </w:r>
    <w:r>
      <w:fldChar w:fldCharType="end"/>
    </w:r>
    <w:r>
      <w:tab/>
    </w:r>
    <w:r>
      <w:fldChar w:fldCharType="begin"/>
    </w:r>
    <w:r>
      <w:instrText xml:space="preserve"> DOCPROPERTY  Author  \* MERGEFORMAT </w:instrText>
    </w:r>
    <w:r>
      <w:fldChar w:fldCharType="separate"/>
    </w:r>
    <w:r w:rsidR="00A35B23">
      <w:t>Industry Skills Australia</w:t>
    </w:r>
    <w:r w:rsidR="00A35B23">
      <w:fldChar w:fldCharType="end"/>
    </w:r>
  </w:p>
  <w:p w:rsidR="00F26F50" w:rsidP="00F26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B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F50" w:rsidRPr="00A35B23" w:rsidP="00A35B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B23" w:rsidRPr="002D2AF8" w:rsidP="00F26F50">
    <w:pPr>
      <w:pStyle w:val="Header"/>
      <w:framePr w:wrap="around"/>
    </w:pPr>
    <w:r>
      <w:fldChar w:fldCharType="begin"/>
    </w:r>
    <w:r>
      <w:instrText xml:space="preserve"> TITLE   \* MERGEFORMAT </w:instrText>
    </w:r>
    <w:r>
      <w:fldChar w:fldCharType="separate"/>
    </w:r>
    <w:r>
      <w:t>TLIL5055 Manage a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5B23" w:rsidP="00F26F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0" w:rsidRPr="002D2AF8" w:rsidP="00F26F50">
    <w:pPr>
      <w:pStyle w:val="Header"/>
      <w:framePr w:wrap="around"/>
    </w:pPr>
    <w:r>
      <w:fldChar w:fldCharType="begin"/>
    </w:r>
    <w:r>
      <w:instrText xml:space="preserve"> TITLE   \* MERGEFORMAT </w:instrText>
    </w:r>
    <w:r>
      <w:fldChar w:fldCharType="separate"/>
    </w:r>
    <w:r w:rsidR="00A35B23">
      <w:t>TLIL5055 Manage a supply chain</w:t>
    </w:r>
    <w:r w:rsidR="00A35B23">
      <w:fldChar w:fldCharType="end"/>
    </w:r>
    <w:r>
      <w:tab/>
      <w:t xml:space="preserve">Date this document was generated: </w:t>
    </w:r>
    <w:r>
      <w:fldChar w:fldCharType="begin"/>
    </w:r>
    <w:r>
      <w:instrText xml:space="preserve"> CREATEDATE  \@ "d MMMM yyyy"  \* MERGEFORMAT </w:instrText>
    </w:r>
    <w:r>
      <w:fldChar w:fldCharType="separate"/>
    </w:r>
    <w:r w:rsidR="00A35B23">
      <w:rPr>
        <w:noProof/>
      </w:rPr>
      <w:t>2 March 2025</w:t>
    </w:r>
    <w:r>
      <w:fldChar w:fldCharType="end"/>
    </w:r>
  </w:p>
  <w:p w:rsidR="00F26F50" w:rsidP="00F26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E0C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16EEE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F50"/>
    <w:pPr>
      <w:spacing w:before="360" w:after="60"/>
      <w:outlineLvl w:val="0"/>
    </w:pPr>
    <w:rPr>
      <w:sz w:val="32"/>
    </w:rPr>
  </w:style>
  <w:style w:type="paragraph" w:styleId="Heading2">
    <w:name w:val="heading 2"/>
    <w:basedOn w:val="HeadingBase"/>
    <w:next w:val="BodyText"/>
    <w:link w:val="Heading2Char"/>
    <w:qFormat/>
    <w:rsid w:val="00F26F50"/>
    <w:pPr>
      <w:keepLines/>
      <w:spacing w:before="240" w:after="120"/>
      <w:outlineLvl w:val="1"/>
    </w:pPr>
    <w:rPr>
      <w:sz w:val="28"/>
      <w:szCs w:val="40"/>
    </w:rPr>
  </w:style>
  <w:style w:type="paragraph" w:styleId="Heading3">
    <w:name w:val="heading 3"/>
    <w:basedOn w:val="HeadingBase"/>
    <w:next w:val="BodyText"/>
    <w:link w:val="Heading3Char"/>
    <w:qFormat/>
    <w:rsid w:val="00F26F50"/>
    <w:pPr>
      <w:spacing w:before="180" w:after="120"/>
      <w:outlineLvl w:val="2"/>
    </w:pPr>
    <w:rPr>
      <w:spacing w:val="-10"/>
      <w:kern w:val="32"/>
    </w:rPr>
  </w:style>
  <w:style w:type="paragraph" w:styleId="Heading4">
    <w:name w:val="heading 4"/>
    <w:basedOn w:val="HeadingBase"/>
    <w:next w:val="BodyText"/>
    <w:link w:val="Heading4Char"/>
    <w:qFormat/>
    <w:rsid w:val="00F26F50"/>
    <w:pPr>
      <w:spacing w:before="160" w:after="120"/>
      <w:outlineLvl w:val="3"/>
    </w:pPr>
    <w:rPr>
      <w:sz w:val="22"/>
    </w:rPr>
  </w:style>
  <w:style w:type="paragraph" w:styleId="Heading5">
    <w:name w:val="heading 5"/>
    <w:basedOn w:val="HeadingBase"/>
    <w:next w:val="Normal"/>
    <w:link w:val="Heading5Char"/>
    <w:qFormat/>
    <w:rsid w:val="00F26F50"/>
    <w:pPr>
      <w:spacing w:before="80"/>
      <w:outlineLvl w:val="4"/>
    </w:pPr>
    <w:rPr>
      <w:color w:val="918585"/>
      <w:sz w:val="20"/>
    </w:rPr>
  </w:style>
  <w:style w:type="paragraph" w:styleId="Heading6">
    <w:name w:val="heading 6"/>
    <w:basedOn w:val="HeadingBase"/>
    <w:next w:val="Normal"/>
    <w:link w:val="Heading6Char"/>
    <w:qFormat/>
    <w:rsid w:val="00F26F50"/>
    <w:pPr>
      <w:spacing w:before="60"/>
      <w:outlineLvl w:val="5"/>
    </w:pPr>
    <w:rPr>
      <w:color w:val="918585"/>
      <w:sz w:val="20"/>
    </w:rPr>
  </w:style>
  <w:style w:type="paragraph" w:styleId="Heading7">
    <w:name w:val="heading 7"/>
    <w:basedOn w:val="Normal"/>
    <w:next w:val="Normal"/>
    <w:link w:val="Heading7Char"/>
    <w:qFormat/>
    <w:rsid w:val="00F26F50"/>
    <w:pPr>
      <w:ind w:left="720"/>
      <w:outlineLvl w:val="6"/>
    </w:pPr>
    <w:rPr>
      <w:i/>
    </w:rPr>
  </w:style>
  <w:style w:type="paragraph" w:styleId="Heading8">
    <w:name w:val="heading 8"/>
    <w:basedOn w:val="Normal"/>
    <w:next w:val="Normal"/>
    <w:link w:val="Heading8Char"/>
    <w:qFormat/>
    <w:rsid w:val="00F26F50"/>
    <w:pPr>
      <w:ind w:left="720"/>
      <w:outlineLvl w:val="7"/>
    </w:pPr>
    <w:rPr>
      <w:i/>
    </w:rPr>
  </w:style>
  <w:style w:type="paragraph" w:styleId="Heading9">
    <w:name w:val="heading 9"/>
    <w:basedOn w:val="Normal"/>
    <w:next w:val="Normal"/>
    <w:link w:val="Heading9Char"/>
    <w:qFormat/>
    <w:rsid w:val="00F26F50"/>
    <w:pPr>
      <w:ind w:left="720"/>
      <w:outlineLvl w:val="8"/>
    </w:pPr>
    <w:rPr>
      <w:i/>
    </w:rPr>
  </w:style>
  <w:style w:type="character" w:default="1" w:styleId="DefaultParagraphFont">
    <w:name w:val="Default Paragraph Font"/>
    <w:uiPriority w:val="1"/>
    <w:unhideWhenUsed/>
    <w:rsid w:val="00F26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F50"/>
  </w:style>
  <w:style w:type="character" w:customStyle="1" w:styleId="Heading1Char">
    <w:name w:val="Heading 1 Char"/>
    <w:basedOn w:val="DefaultParagraphFont"/>
    <w:link w:val="Heading1"/>
    <w:rsid w:val="00F26F50"/>
    <w:rPr>
      <w:rFonts w:ascii="Times New Roman" w:eastAsia="Times New Roman" w:hAnsi="Times New Roman" w:cs="Times New Roman"/>
      <w:b/>
      <w:sz w:val="32"/>
      <w:szCs w:val="20"/>
      <w:lang w:eastAsia="en-US"/>
    </w:rPr>
  </w:style>
  <w:style w:type="paragraph" w:styleId="BodyText">
    <w:name w:val="Body Text"/>
    <w:basedOn w:val="Normal"/>
    <w:link w:val="BodyTextChar"/>
    <w:rsid w:val="00F26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F50"/>
    <w:rPr>
      <w:rFonts w:ascii="Times New Roman" w:eastAsia="Times New Roman" w:hAnsi="Times New Roman" w:cs="Times New Roman"/>
      <w:sz w:val="24"/>
      <w:lang w:eastAsia="en-US"/>
    </w:rPr>
  </w:style>
  <w:style w:type="character" w:customStyle="1" w:styleId="SpecialBold">
    <w:name w:val="Special Bold"/>
    <w:basedOn w:val="DefaultParagraphFont"/>
    <w:rsid w:val="00F26F50"/>
    <w:rPr>
      <w:b/>
      <w:spacing w:val="0"/>
    </w:rPr>
  </w:style>
  <w:style w:type="paragraph" w:styleId="ListBullet2">
    <w:name w:val="List Bullet 2"/>
    <w:basedOn w:val="List2"/>
    <w:rsid w:val="00F26F50"/>
    <w:pPr>
      <w:numPr>
        <w:numId w:val="12"/>
      </w:numPr>
      <w:tabs>
        <w:tab w:val="clear" w:pos="680"/>
      </w:tabs>
    </w:pPr>
  </w:style>
  <w:style w:type="paragraph" w:customStyle="1" w:styleId="SuperHeading">
    <w:name w:val="SuperHeading"/>
    <w:basedOn w:val="Normal"/>
    <w:rsid w:val="00F26F50"/>
    <w:pPr>
      <w:spacing w:before="240" w:after="120"/>
      <w:outlineLvl w:val="0"/>
    </w:pPr>
    <w:rPr>
      <w:rFonts w:ascii="Times New Roman" w:hAnsi="Times New Roman"/>
      <w:b/>
      <w:sz w:val="32"/>
    </w:rPr>
  </w:style>
  <w:style w:type="paragraph" w:customStyle="1" w:styleId="AllowPageBreak">
    <w:name w:val="AllowPageBreak"/>
    <w:rsid w:val="00F26F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F50"/>
    <w:rPr>
      <w:rFonts w:ascii="Courier New" w:eastAsia="Times New Roman" w:hAnsi="Courier New" w:cs="Times New Roman"/>
      <w:i/>
      <w:szCs w:val="20"/>
      <w:lang w:eastAsia="en-US"/>
    </w:rPr>
  </w:style>
  <w:style w:type="paragraph" w:customStyle="1" w:styleId="HeadingBase">
    <w:name w:val="Heading Base"/>
    <w:rsid w:val="00F26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F50"/>
    <w:pPr>
      <w:tabs>
        <w:tab w:val="right" w:leader="dot" w:pos="9072"/>
      </w:tabs>
      <w:ind w:left="567"/>
    </w:pPr>
    <w:rPr>
      <w:szCs w:val="22"/>
    </w:rPr>
  </w:style>
  <w:style w:type="paragraph" w:customStyle="1" w:styleId="TOCBase">
    <w:name w:val="TOC Base"/>
    <w:rsid w:val="00F26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F50"/>
    <w:pPr>
      <w:tabs>
        <w:tab w:val="right" w:leader="dot" w:pos="9072"/>
      </w:tabs>
      <w:spacing w:before="40" w:after="40"/>
      <w:ind w:left="284"/>
    </w:pPr>
    <w:rPr>
      <w:rFonts w:ascii="Times New Roman" w:hAnsi="Times New Roman"/>
    </w:rPr>
  </w:style>
  <w:style w:type="paragraph" w:styleId="TOC1">
    <w:name w:val="toc 1"/>
    <w:basedOn w:val="TOCBase"/>
    <w:next w:val="Normal"/>
    <w:rsid w:val="00F26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F50"/>
    <w:rPr>
      <w:rFonts w:ascii="Times New Roman" w:eastAsia="Times New Roman" w:hAnsi="Times New Roman" w:cs="Times New Roman"/>
      <w:sz w:val="16"/>
      <w:lang w:eastAsia="en-US"/>
    </w:rPr>
  </w:style>
  <w:style w:type="paragraph" w:styleId="Title">
    <w:name w:val="Title"/>
    <w:basedOn w:val="HeadingBase"/>
    <w:link w:val="TitleChar"/>
    <w:qFormat/>
    <w:rsid w:val="00F26F50"/>
    <w:pPr>
      <w:spacing w:before="5040"/>
      <w:jc w:val="center"/>
    </w:pPr>
    <w:rPr>
      <w:sz w:val="48"/>
      <w:szCs w:val="72"/>
      <w:lang w:val="en-US"/>
    </w:rPr>
  </w:style>
  <w:style w:type="character" w:customStyle="1" w:styleId="TitleChar">
    <w:name w:val="Title Char"/>
    <w:basedOn w:val="DefaultParagraphFont"/>
    <w:link w:val="Title"/>
    <w:rsid w:val="00F26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F50"/>
    <w:pPr>
      <w:tabs>
        <w:tab w:val="left" w:pos="3600"/>
        <w:tab w:val="left" w:pos="3958"/>
      </w:tabs>
    </w:pPr>
  </w:style>
  <w:style w:type="paragraph" w:styleId="List">
    <w:name w:val="List"/>
    <w:basedOn w:val="BodyText"/>
    <w:next w:val="BodyText"/>
    <w:rsid w:val="00F26F50"/>
    <w:pPr>
      <w:tabs>
        <w:tab w:val="left" w:pos="340"/>
      </w:tabs>
      <w:spacing w:before="60" w:after="60"/>
      <w:ind w:left="340" w:hanging="340"/>
    </w:pPr>
  </w:style>
  <w:style w:type="paragraph" w:styleId="ListBullet">
    <w:name w:val="List Bullet"/>
    <w:basedOn w:val="List"/>
    <w:rsid w:val="00F26F50"/>
    <w:pPr>
      <w:numPr>
        <w:numId w:val="11"/>
      </w:numPr>
      <w:tabs>
        <w:tab w:val="clear" w:pos="340"/>
      </w:tabs>
      <w:spacing w:before="40" w:after="40"/>
    </w:pPr>
  </w:style>
  <w:style w:type="paragraph" w:customStyle="1" w:styleId="Note">
    <w:name w:val="Note"/>
    <w:basedOn w:val="BodyText"/>
    <w:rsid w:val="00F26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F50"/>
    <w:pPr>
      <w:framePr w:wrap="auto" w:hAnchor="text" w:y="6049"/>
    </w:pPr>
    <w:rPr>
      <w:color w:val="000000"/>
      <w:sz w:val="40"/>
    </w:rPr>
  </w:style>
  <w:style w:type="paragraph" w:customStyle="1" w:styleId="TOCTitle">
    <w:name w:val="TOCTitle"/>
    <w:basedOn w:val="Heading1"/>
    <w:rsid w:val="00F26F50"/>
    <w:pPr>
      <w:spacing w:after="240"/>
      <w:jc w:val="center"/>
      <w:outlineLvl w:val="9"/>
    </w:pPr>
    <w:rPr>
      <w:caps/>
    </w:rPr>
  </w:style>
  <w:style w:type="paragraph" w:customStyle="1" w:styleId="Version">
    <w:name w:val="Version"/>
    <w:rsid w:val="00F26F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F50"/>
    <w:pPr>
      <w:keepNext w:val="0"/>
      <w:tabs>
        <w:tab w:val="right" w:pos="4176"/>
      </w:tabs>
      <w:ind w:left="198" w:hanging="198"/>
    </w:pPr>
    <w:rPr>
      <w:rFonts w:ascii="Garamond" w:hAnsi="Garamond"/>
    </w:rPr>
  </w:style>
  <w:style w:type="paragraph" w:styleId="IndexHeading">
    <w:name w:val="index heading"/>
    <w:basedOn w:val="Normal"/>
    <w:next w:val="Index1"/>
    <w:semiHidden/>
    <w:rsid w:val="00F26F50"/>
    <w:pPr>
      <w:spacing w:before="120" w:after="120"/>
    </w:pPr>
    <w:rPr>
      <w:rFonts w:ascii="Arial" w:hAnsi="Arial"/>
      <w:b/>
      <w:color w:val="918585"/>
      <w:sz w:val="24"/>
    </w:rPr>
  </w:style>
  <w:style w:type="paragraph" w:styleId="Header">
    <w:name w:val="header"/>
    <w:basedOn w:val="Normal"/>
    <w:link w:val="HeaderChar"/>
    <w:rsid w:val="00F26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F50"/>
    <w:rPr>
      <w:rFonts w:ascii="Times New Roman" w:eastAsia="Times New Roman" w:hAnsi="Times New Roman" w:cs="Times New Roman"/>
      <w:sz w:val="16"/>
      <w:szCs w:val="20"/>
      <w:lang w:val="en-GB" w:eastAsia="en-US"/>
    </w:rPr>
  </w:style>
  <w:style w:type="paragraph" w:customStyle="1" w:styleId="Chapter">
    <w:name w:val="Chapter"/>
    <w:basedOn w:val="Normal"/>
    <w:rsid w:val="00F26F50"/>
    <w:pPr>
      <w:spacing w:before="240"/>
    </w:pPr>
    <w:rPr>
      <w:rFonts w:ascii="Times New Roman" w:hAnsi="Times New Roman"/>
      <w:smallCaps/>
      <w:spacing w:val="80"/>
      <w:sz w:val="28"/>
    </w:rPr>
  </w:style>
  <w:style w:type="paragraph" w:customStyle="1" w:styleId="InChapter">
    <w:name w:val="InChapter"/>
    <w:basedOn w:val="Heading3"/>
    <w:rsid w:val="00F26F50"/>
    <w:pPr>
      <w:spacing w:after="240"/>
      <w:outlineLvl w:val="9"/>
    </w:pPr>
    <w:rPr>
      <w:noProof/>
    </w:rPr>
  </w:style>
  <w:style w:type="paragraph" w:styleId="Index2">
    <w:name w:val="index 2"/>
    <w:basedOn w:val="Normal"/>
    <w:next w:val="Normal"/>
    <w:semiHidden/>
    <w:rsid w:val="00F26F50"/>
    <w:pPr>
      <w:tabs>
        <w:tab w:val="right" w:pos="4176"/>
      </w:tabs>
      <w:ind w:left="568" w:hanging="284"/>
    </w:pPr>
    <w:rPr>
      <w:rFonts w:ascii="Garamond" w:hAnsi="Garamond"/>
    </w:rPr>
  </w:style>
  <w:style w:type="paragraph" w:customStyle="1" w:styleId="Byline">
    <w:name w:val="Byline"/>
    <w:rsid w:val="00F26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F50"/>
    <w:pPr>
      <w:tabs>
        <w:tab w:val="clear" w:pos="3600"/>
        <w:tab w:val="clear" w:pos="3958"/>
      </w:tabs>
      <w:jc w:val="right"/>
    </w:pPr>
  </w:style>
  <w:style w:type="character" w:styleId="Emphasis">
    <w:name w:val="Emphasis"/>
    <w:basedOn w:val="DefaultParagraphFont"/>
    <w:qFormat/>
    <w:rsid w:val="00F26F50"/>
    <w:rPr>
      <w:i/>
    </w:rPr>
  </w:style>
  <w:style w:type="paragraph" w:styleId="Caption">
    <w:name w:val="caption"/>
    <w:basedOn w:val="BodyText"/>
    <w:next w:val="Normal"/>
    <w:qFormat/>
    <w:rsid w:val="00F26F50"/>
    <w:pPr>
      <w:framePr w:w="2268" w:hSpace="181" w:vSpace="181" w:wrap="around" w:vAnchor="text" w:hAnchor="page" w:x="1135" w:y="285" w:anchorLock="1"/>
    </w:pPr>
    <w:rPr>
      <w:i/>
    </w:rPr>
  </w:style>
  <w:style w:type="paragraph" w:customStyle="1" w:styleId="MiniTOCTitle">
    <w:name w:val="MiniTOCTitle"/>
    <w:basedOn w:val="Heading4"/>
    <w:rsid w:val="00F26F50"/>
    <w:pPr>
      <w:spacing w:before="240"/>
      <w:outlineLvl w:val="9"/>
    </w:pPr>
    <w:rPr>
      <w:noProof/>
      <w:sz w:val="24"/>
    </w:rPr>
  </w:style>
  <w:style w:type="paragraph" w:customStyle="1" w:styleId="MiniTOCItem">
    <w:name w:val="MiniTOCItem"/>
    <w:basedOn w:val="ListBullet"/>
    <w:rsid w:val="00F26F50"/>
    <w:pPr>
      <w:numPr>
        <w:numId w:val="0"/>
      </w:numPr>
      <w:tabs>
        <w:tab w:val="right" w:leader="dot" w:pos="6521"/>
      </w:tabs>
      <w:spacing w:before="0" w:after="0"/>
    </w:pPr>
  </w:style>
  <w:style w:type="paragraph" w:customStyle="1" w:styleId="TOFTitle">
    <w:name w:val="TOFTitle"/>
    <w:basedOn w:val="TOCTitle"/>
    <w:rsid w:val="00F26F50"/>
  </w:style>
  <w:style w:type="paragraph" w:styleId="TableofFigures">
    <w:name w:val="table of figures"/>
    <w:basedOn w:val="Normal"/>
    <w:next w:val="Normal"/>
    <w:semiHidden/>
    <w:rsid w:val="00F26F50"/>
    <w:pPr>
      <w:tabs>
        <w:tab w:val="right" w:leader="dot" w:pos="9072"/>
      </w:tabs>
      <w:ind w:left="970" w:hanging="403"/>
    </w:pPr>
    <w:rPr>
      <w:rFonts w:ascii="Times New Roman" w:hAnsi="Times New Roman"/>
      <w:b/>
    </w:rPr>
  </w:style>
  <w:style w:type="paragraph" w:styleId="ListNumber">
    <w:name w:val="List Number"/>
    <w:basedOn w:val="List"/>
    <w:rsid w:val="00F26F50"/>
    <w:pPr>
      <w:numPr>
        <w:numId w:val="14"/>
      </w:numPr>
      <w:tabs>
        <w:tab w:val="clear" w:pos="340"/>
      </w:tabs>
    </w:pPr>
  </w:style>
  <w:style w:type="character" w:customStyle="1" w:styleId="WingdingSymbols">
    <w:name w:val="Wingding Symbols"/>
    <w:rsid w:val="00F26F50"/>
    <w:rPr>
      <w:rFonts w:ascii="Wingdings" w:hAnsi="Wingdings"/>
    </w:rPr>
  </w:style>
  <w:style w:type="paragraph" w:customStyle="1" w:styleId="TableHeading">
    <w:name w:val="Table Heading"/>
    <w:basedOn w:val="HeadingBase"/>
    <w:rsid w:val="00F26F50"/>
    <w:pPr>
      <w:keepLines/>
      <w:pBdr>
        <w:bottom w:val="single" w:sz="6" w:space="1" w:color="918585"/>
      </w:pBdr>
      <w:spacing w:before="240"/>
    </w:pPr>
  </w:style>
  <w:style w:type="character" w:customStyle="1" w:styleId="HotSpot">
    <w:name w:val="HotSpot"/>
    <w:rsid w:val="00F26F50"/>
    <w:rPr>
      <w:color w:val="0033CC"/>
      <w:u w:val="none"/>
    </w:rPr>
  </w:style>
  <w:style w:type="paragraph" w:customStyle="1" w:styleId="BodyTextRight">
    <w:name w:val="Body Text Right"/>
    <w:basedOn w:val="BodyText"/>
    <w:rsid w:val="00F26F50"/>
    <w:pPr>
      <w:spacing w:before="0" w:after="0"/>
      <w:jc w:val="right"/>
    </w:pPr>
  </w:style>
  <w:style w:type="paragraph" w:styleId="Index3">
    <w:name w:val="index 3"/>
    <w:basedOn w:val="ListNumber2"/>
    <w:next w:val="Normal"/>
    <w:semiHidden/>
    <w:rsid w:val="00F26F50"/>
    <w:pPr>
      <w:numPr>
        <w:numId w:val="0"/>
      </w:numPr>
      <w:tabs>
        <w:tab w:val="right" w:leader="dot" w:pos="4176"/>
      </w:tabs>
    </w:pPr>
  </w:style>
  <w:style w:type="paragraph" w:styleId="ListNumber2">
    <w:name w:val="List Number 2"/>
    <w:basedOn w:val="List2"/>
    <w:rsid w:val="00F26F50"/>
    <w:pPr>
      <w:numPr>
        <w:numId w:val="9"/>
      </w:numPr>
      <w:tabs>
        <w:tab w:val="clear" w:pos="1060"/>
      </w:tabs>
    </w:pPr>
  </w:style>
  <w:style w:type="paragraph" w:customStyle="1" w:styleId="MarginNote">
    <w:name w:val="Margin Note"/>
    <w:basedOn w:val="BodyText"/>
    <w:rsid w:val="00F26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F50"/>
    <w:rPr>
      <w:sz w:val="32"/>
    </w:rPr>
  </w:style>
  <w:style w:type="paragraph" w:customStyle="1" w:styleId="HeadingProcedure">
    <w:name w:val="Heading Procedure"/>
    <w:basedOn w:val="HeadingBase"/>
    <w:next w:val="Normal"/>
    <w:rsid w:val="00F26F50"/>
    <w:pPr>
      <w:tabs>
        <w:tab w:val="left" w:pos="0"/>
      </w:tabs>
      <w:spacing w:before="120" w:after="60"/>
    </w:pPr>
    <w:rPr>
      <w:i/>
      <w:color w:val="918585"/>
      <w:sz w:val="22"/>
    </w:rPr>
  </w:style>
  <w:style w:type="paragraph" w:customStyle="1" w:styleId="TableBodyText">
    <w:name w:val="Table Body Text"/>
    <w:basedOn w:val="BodyText"/>
    <w:rsid w:val="00F26F50"/>
    <w:pPr>
      <w:spacing w:before="60" w:after="60"/>
    </w:pPr>
  </w:style>
  <w:style w:type="paragraph" w:styleId="ListContinue">
    <w:name w:val="List Continue"/>
    <w:basedOn w:val="List"/>
    <w:rsid w:val="00F26F50"/>
    <w:pPr>
      <w:ind w:firstLine="0"/>
    </w:pPr>
  </w:style>
  <w:style w:type="paragraph" w:customStyle="1" w:styleId="ListNote">
    <w:name w:val="List Note"/>
    <w:basedOn w:val="List"/>
    <w:rsid w:val="00F26F50"/>
    <w:pPr>
      <w:pBdr>
        <w:top w:val="single" w:sz="6" w:space="2" w:color="918585"/>
        <w:bottom w:val="single" w:sz="6" w:space="2" w:color="918585"/>
      </w:pBdr>
      <w:tabs>
        <w:tab w:val="left" w:pos="1021"/>
      </w:tabs>
      <w:ind w:firstLine="0"/>
    </w:pPr>
  </w:style>
  <w:style w:type="paragraph" w:customStyle="1" w:styleId="Warning">
    <w:name w:val="Warning"/>
    <w:basedOn w:val="BodyText"/>
    <w:rsid w:val="00F26F50"/>
    <w:pPr>
      <w:shd w:val="clear" w:color="auto" w:fill="D9D9D9"/>
      <w:tabs>
        <w:tab w:val="left" w:pos="992"/>
      </w:tabs>
      <w:ind w:left="119" w:right="119"/>
    </w:pPr>
    <w:rPr>
      <w:sz w:val="20"/>
    </w:rPr>
  </w:style>
  <w:style w:type="paragraph" w:customStyle="1" w:styleId="MarginIcons">
    <w:name w:val="Margin Icons"/>
    <w:basedOn w:val="BodyText"/>
    <w:rsid w:val="00F26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F50"/>
    <w:rPr>
      <w:rFonts w:ascii="Courier New" w:hAnsi="Courier New"/>
    </w:rPr>
  </w:style>
  <w:style w:type="paragraph" w:customStyle="1" w:styleId="NoteBullet">
    <w:name w:val="Note Bullet"/>
    <w:basedOn w:val="Note"/>
    <w:rsid w:val="00F26F50"/>
    <w:pPr>
      <w:tabs>
        <w:tab w:val="clear" w:pos="680"/>
      </w:tabs>
      <w:spacing w:before="60" w:after="60"/>
    </w:pPr>
  </w:style>
  <w:style w:type="paragraph" w:customStyle="1" w:styleId="SubHeading2">
    <w:name w:val="SubHeading2"/>
    <w:basedOn w:val="HeadingBase"/>
    <w:rsid w:val="00F26F50"/>
    <w:pPr>
      <w:spacing w:before="240" w:after="60"/>
    </w:pPr>
    <w:rPr>
      <w:sz w:val="20"/>
    </w:rPr>
  </w:style>
  <w:style w:type="paragraph" w:customStyle="1" w:styleId="SubHeading1">
    <w:name w:val="SubHeading1"/>
    <w:basedOn w:val="HeadingBase"/>
    <w:rsid w:val="00F26F50"/>
    <w:pPr>
      <w:spacing w:before="240" w:after="60"/>
    </w:pPr>
    <w:rPr>
      <w:color w:val="918585"/>
      <w:sz w:val="22"/>
    </w:rPr>
  </w:style>
  <w:style w:type="paragraph" w:customStyle="1" w:styleId="SideHeading">
    <w:name w:val="Side Heading"/>
    <w:basedOn w:val="HeadingBase"/>
    <w:rsid w:val="00F26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F50"/>
    <w:pPr>
      <w:numPr>
        <w:numId w:val="10"/>
      </w:numPr>
    </w:pPr>
  </w:style>
  <w:style w:type="paragraph" w:styleId="PlainText">
    <w:name w:val="Plain Text"/>
    <w:basedOn w:val="Normal"/>
    <w:link w:val="PlainTextChar"/>
    <w:rsid w:val="00F26F50"/>
    <w:rPr>
      <w:sz w:val="20"/>
    </w:rPr>
  </w:style>
  <w:style w:type="character" w:customStyle="1" w:styleId="PlainTextChar">
    <w:name w:val="Plain Text Char"/>
    <w:basedOn w:val="DefaultParagraphFont"/>
    <w:link w:val="PlainText"/>
    <w:rsid w:val="00F26F50"/>
    <w:rPr>
      <w:rFonts w:ascii="Courier New" w:eastAsia="Times New Roman" w:hAnsi="Courier New" w:cs="Times New Roman"/>
      <w:sz w:val="20"/>
      <w:szCs w:val="20"/>
      <w:lang w:eastAsia="en-US"/>
    </w:rPr>
  </w:style>
  <w:style w:type="character" w:customStyle="1" w:styleId="MenuOption">
    <w:name w:val="Menu Option"/>
    <w:basedOn w:val="DefaultParagraphFont"/>
    <w:rsid w:val="00F26F50"/>
    <w:rPr>
      <w:b/>
      <w:smallCaps/>
    </w:rPr>
  </w:style>
  <w:style w:type="paragraph" w:customStyle="1" w:styleId="TableListNumber">
    <w:name w:val="Table List Number"/>
    <w:basedOn w:val="ListNumber"/>
    <w:rsid w:val="00F26F50"/>
    <w:pPr>
      <w:numPr>
        <w:numId w:val="0"/>
      </w:numPr>
    </w:pPr>
  </w:style>
  <w:style w:type="paragraph" w:styleId="TOC4">
    <w:name w:val="toc 4"/>
    <w:basedOn w:val="TOCBase"/>
    <w:next w:val="Normal"/>
    <w:semiHidden/>
    <w:rsid w:val="00F26F50"/>
    <w:pPr>
      <w:tabs>
        <w:tab w:val="right" w:leader="dot" w:pos="9071"/>
      </w:tabs>
      <w:ind w:left="1701"/>
    </w:pPr>
  </w:style>
  <w:style w:type="paragraph" w:customStyle="1" w:styleId="ListAlpha">
    <w:name w:val="List Alpha"/>
    <w:basedOn w:val="List"/>
    <w:rsid w:val="00F26F50"/>
    <w:pPr>
      <w:numPr>
        <w:numId w:val="8"/>
      </w:numPr>
    </w:pPr>
  </w:style>
  <w:style w:type="paragraph" w:customStyle="1" w:styleId="ListAlpha2">
    <w:name w:val="List Alpha 2"/>
    <w:basedOn w:val="List2"/>
    <w:rsid w:val="00F26F50"/>
    <w:pPr>
      <w:numPr>
        <w:numId w:val="7"/>
      </w:numPr>
    </w:pPr>
  </w:style>
  <w:style w:type="paragraph" w:styleId="List2">
    <w:name w:val="List 2"/>
    <w:basedOn w:val="BodyText"/>
    <w:rsid w:val="00F26F50"/>
    <w:pPr>
      <w:tabs>
        <w:tab w:val="left" w:pos="680"/>
      </w:tabs>
      <w:spacing w:before="60" w:after="60"/>
      <w:ind w:left="680" w:hanging="340"/>
    </w:pPr>
  </w:style>
  <w:style w:type="paragraph" w:styleId="List3">
    <w:name w:val="List 3"/>
    <w:basedOn w:val="BodyText"/>
    <w:rsid w:val="00F26F50"/>
    <w:pPr>
      <w:tabs>
        <w:tab w:val="left" w:pos="1021"/>
      </w:tabs>
      <w:spacing w:before="60" w:after="60"/>
      <w:ind w:left="1020" w:hanging="340"/>
    </w:pPr>
  </w:style>
  <w:style w:type="paragraph" w:styleId="List4">
    <w:name w:val="List 4"/>
    <w:basedOn w:val="BodyText"/>
    <w:rsid w:val="00F26F50"/>
    <w:pPr>
      <w:tabs>
        <w:tab w:val="left" w:pos="1361"/>
      </w:tabs>
      <w:spacing w:before="60" w:after="60"/>
      <w:ind w:left="1361" w:hanging="340"/>
    </w:pPr>
  </w:style>
  <w:style w:type="paragraph" w:styleId="List5">
    <w:name w:val="List 5"/>
    <w:basedOn w:val="BodyText"/>
    <w:rsid w:val="00F26F50"/>
    <w:pPr>
      <w:tabs>
        <w:tab w:val="left" w:pos="1701"/>
      </w:tabs>
      <w:spacing w:before="60" w:after="60"/>
      <w:ind w:left="1701" w:hanging="340"/>
    </w:pPr>
  </w:style>
  <w:style w:type="paragraph" w:styleId="ListBullet3">
    <w:name w:val="List Bullet 3"/>
    <w:basedOn w:val="List3"/>
    <w:rsid w:val="00F26F50"/>
    <w:pPr>
      <w:numPr>
        <w:numId w:val="13"/>
      </w:numPr>
      <w:tabs>
        <w:tab w:val="clear" w:pos="1021"/>
      </w:tabs>
      <w:ind w:left="1037" w:hanging="357"/>
    </w:pPr>
  </w:style>
  <w:style w:type="paragraph" w:styleId="ListBullet4">
    <w:name w:val="List Bullet 4"/>
    <w:basedOn w:val="List4"/>
    <w:rsid w:val="00F26F50"/>
    <w:pPr>
      <w:numPr>
        <w:numId w:val="2"/>
      </w:numPr>
      <w:tabs>
        <w:tab w:val="clear" w:pos="1361"/>
      </w:tabs>
    </w:pPr>
  </w:style>
  <w:style w:type="paragraph" w:styleId="ListBullet5">
    <w:name w:val="List Bullet 5"/>
    <w:basedOn w:val="List5"/>
    <w:rsid w:val="00F26F50"/>
    <w:pPr>
      <w:numPr>
        <w:numId w:val="3"/>
      </w:numPr>
    </w:pPr>
  </w:style>
  <w:style w:type="paragraph" w:styleId="ListContinue2">
    <w:name w:val="List Continue 2"/>
    <w:basedOn w:val="List2"/>
    <w:rsid w:val="00F26F50"/>
    <w:pPr>
      <w:ind w:firstLine="0"/>
    </w:pPr>
  </w:style>
  <w:style w:type="paragraph" w:styleId="ListContinue3">
    <w:name w:val="List Continue 3"/>
    <w:basedOn w:val="List3"/>
    <w:rsid w:val="00F26F50"/>
    <w:pPr>
      <w:ind w:left="1021" w:firstLine="0"/>
    </w:pPr>
  </w:style>
  <w:style w:type="paragraph" w:styleId="ListContinue4">
    <w:name w:val="List Continue 4"/>
    <w:basedOn w:val="List4"/>
    <w:rsid w:val="00F26F50"/>
    <w:pPr>
      <w:ind w:firstLine="0"/>
    </w:pPr>
  </w:style>
  <w:style w:type="paragraph" w:styleId="ListContinue5">
    <w:name w:val="List Continue 5"/>
    <w:basedOn w:val="List5"/>
    <w:rsid w:val="00F26F50"/>
    <w:pPr>
      <w:ind w:firstLine="0"/>
    </w:pPr>
  </w:style>
  <w:style w:type="paragraph" w:styleId="ListNumber3">
    <w:name w:val="List Number 3"/>
    <w:basedOn w:val="List3"/>
    <w:rsid w:val="00F26F50"/>
    <w:pPr>
      <w:numPr>
        <w:numId w:val="4"/>
      </w:numPr>
    </w:pPr>
  </w:style>
  <w:style w:type="paragraph" w:styleId="ListNumber4">
    <w:name w:val="List Number 4"/>
    <w:basedOn w:val="List4"/>
    <w:rsid w:val="00F26F50"/>
    <w:pPr>
      <w:numPr>
        <w:numId w:val="5"/>
      </w:numPr>
    </w:pPr>
  </w:style>
  <w:style w:type="paragraph" w:styleId="ListNumber5">
    <w:name w:val="List Number 5"/>
    <w:basedOn w:val="List5"/>
    <w:rsid w:val="00F26F50"/>
    <w:pPr>
      <w:numPr>
        <w:numId w:val="6"/>
      </w:numPr>
    </w:pPr>
  </w:style>
  <w:style w:type="paragraph" w:styleId="BlockText">
    <w:name w:val="Block Text"/>
    <w:basedOn w:val="Normal"/>
    <w:rsid w:val="00F26F50"/>
    <w:pPr>
      <w:spacing w:after="120"/>
      <w:ind w:left="1440" w:right="1440"/>
    </w:pPr>
  </w:style>
  <w:style w:type="character" w:customStyle="1" w:styleId="Subscript">
    <w:name w:val="Subscript"/>
    <w:basedOn w:val="DefaultParagraphFont"/>
    <w:rsid w:val="00F26F50"/>
    <w:rPr>
      <w:sz w:val="16"/>
      <w:vertAlign w:val="subscript"/>
    </w:rPr>
  </w:style>
  <w:style w:type="character" w:customStyle="1" w:styleId="Superscript">
    <w:name w:val="Superscript"/>
    <w:basedOn w:val="DefaultParagraphFont"/>
    <w:rsid w:val="00F26F50"/>
    <w:rPr>
      <w:sz w:val="16"/>
      <w:vertAlign w:val="superscript"/>
    </w:rPr>
  </w:style>
  <w:style w:type="character" w:customStyle="1" w:styleId="Symbols">
    <w:name w:val="Symbols"/>
    <w:basedOn w:val="DefaultParagraphFont"/>
    <w:rsid w:val="00F26F50"/>
    <w:rPr>
      <w:rFonts w:ascii="Symbol" w:hAnsi="Symbol"/>
    </w:rPr>
  </w:style>
  <w:style w:type="character" w:customStyle="1" w:styleId="MenuOptions">
    <w:name w:val="Menu Options"/>
    <w:basedOn w:val="DefaultParagraphFont"/>
    <w:rsid w:val="00F26F50"/>
    <w:rPr>
      <w:rFonts w:ascii="Arial Narrow" w:hAnsi="Arial Narrow"/>
      <w:smallCaps/>
    </w:rPr>
  </w:style>
  <w:style w:type="character" w:customStyle="1" w:styleId="Buttons">
    <w:name w:val="Buttons"/>
    <w:basedOn w:val="DefaultParagraphFont"/>
    <w:rsid w:val="00F26F50"/>
    <w:rPr>
      <w:b/>
    </w:rPr>
  </w:style>
  <w:style w:type="character" w:customStyle="1" w:styleId="Underlined">
    <w:name w:val="Underlined"/>
    <w:basedOn w:val="DefaultParagraphFont"/>
    <w:rsid w:val="00F26F50"/>
    <w:rPr>
      <w:u w:val="single"/>
    </w:rPr>
  </w:style>
  <w:style w:type="paragraph" w:customStyle="1" w:styleId="TableBodyTextRight">
    <w:name w:val="Table Body Text Right"/>
    <w:basedOn w:val="TableBodyText"/>
    <w:rsid w:val="00F26F50"/>
    <w:pPr>
      <w:widowControl w:val="0"/>
      <w:autoSpaceDE w:val="0"/>
      <w:autoSpaceDN w:val="0"/>
      <w:adjustRightInd w:val="0"/>
      <w:jc w:val="right"/>
    </w:pPr>
    <w:rPr>
      <w:rFonts w:cs="Arial"/>
      <w:szCs w:val="18"/>
    </w:rPr>
  </w:style>
  <w:style w:type="paragraph" w:customStyle="1" w:styleId="CopyrightText">
    <w:name w:val="Copyright Text"/>
    <w:basedOn w:val="BodyText"/>
    <w:rsid w:val="00F26F50"/>
    <w:rPr>
      <w:sz w:val="18"/>
    </w:rPr>
  </w:style>
  <w:style w:type="paragraph" w:customStyle="1" w:styleId="BodySmallRight">
    <w:name w:val="Body Small Right"/>
    <w:basedOn w:val="BodyTextRight"/>
    <w:rsid w:val="00F26F50"/>
    <w:rPr>
      <w:sz w:val="18"/>
      <w:szCs w:val="18"/>
    </w:rPr>
  </w:style>
  <w:style w:type="paragraph" w:customStyle="1" w:styleId="MarginEdition">
    <w:name w:val="Margin Edition"/>
    <w:basedOn w:val="MarginNote"/>
    <w:rsid w:val="00F26F50"/>
    <w:pPr>
      <w:spacing w:before="0" w:after="0"/>
    </w:pPr>
    <w:rPr>
      <w:rFonts w:ascii="Times New Roman" w:hAnsi="Times New Roman"/>
      <w:color w:val="999999"/>
    </w:rPr>
  </w:style>
  <w:style w:type="paragraph" w:customStyle="1" w:styleId="Spacer">
    <w:name w:val="Spacer"/>
    <w:basedOn w:val="Normal"/>
    <w:rsid w:val="00F26F50"/>
    <w:rPr>
      <w:sz w:val="2"/>
      <w:szCs w:val="2"/>
    </w:rPr>
  </w:style>
  <w:style w:type="character" w:customStyle="1" w:styleId="Small">
    <w:name w:val="Small"/>
    <w:basedOn w:val="DefaultParagraphFont"/>
    <w:rsid w:val="00F26F50"/>
    <w:rPr>
      <w:sz w:val="16"/>
    </w:rPr>
  </w:style>
  <w:style w:type="paragraph" w:customStyle="1" w:styleId="WideTable">
    <w:name w:val="Wide Table"/>
    <w:basedOn w:val="Normal"/>
    <w:rsid w:val="00F26F50"/>
    <w:pPr>
      <w:ind w:left="-1418"/>
    </w:pPr>
    <w:rPr>
      <w:sz w:val="2"/>
      <w:szCs w:val="2"/>
    </w:rPr>
  </w:style>
  <w:style w:type="character" w:styleId="PageNumber">
    <w:name w:val="page number"/>
    <w:basedOn w:val="DefaultParagraphFont"/>
    <w:rsid w:val="00F26F50"/>
  </w:style>
  <w:style w:type="paragraph" w:styleId="Quote">
    <w:name w:val="Quote"/>
    <w:basedOn w:val="Heading1"/>
    <w:link w:val="QuoteChar"/>
    <w:qFormat/>
    <w:rsid w:val="00F26F50"/>
    <w:rPr>
      <w:b w:val="0"/>
      <w:sz w:val="72"/>
      <w:szCs w:val="72"/>
      <w:lang w:val="en-NZ"/>
    </w:rPr>
  </w:style>
  <w:style w:type="character" w:customStyle="1" w:styleId="QuoteChar">
    <w:name w:val="Quote Char"/>
    <w:basedOn w:val="DefaultParagraphFont"/>
    <w:link w:val="Quote"/>
    <w:rsid w:val="00F26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F50"/>
    <w:pPr>
      <w:pageBreakBefore/>
    </w:pPr>
  </w:style>
  <w:style w:type="paragraph" w:customStyle="1" w:styleId="Border">
    <w:name w:val="Border"/>
    <w:basedOn w:val="Normal"/>
    <w:qFormat/>
    <w:rsid w:val="00F26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F50"/>
    <w:rPr>
      <w:b/>
      <w:bCs/>
      <w:i/>
      <w:iCs/>
      <w:color w:val="auto"/>
    </w:rPr>
  </w:style>
  <w:style w:type="paragraph" w:styleId="IntenseQuote">
    <w:name w:val="Intense Quote"/>
    <w:basedOn w:val="Normal"/>
    <w:next w:val="Normal"/>
    <w:link w:val="IntenseQuoteChar"/>
    <w:uiPriority w:val="30"/>
    <w:qFormat/>
    <w:rsid w:val="00F26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F50"/>
    <w:rPr>
      <w:smallCaps/>
      <w:color w:val="auto"/>
      <w:u w:val="single"/>
    </w:rPr>
  </w:style>
  <w:style w:type="character" w:styleId="IntenseReference">
    <w:name w:val="Intense Reference"/>
    <w:basedOn w:val="DefaultParagraphFont"/>
    <w:uiPriority w:val="32"/>
    <w:qFormat/>
    <w:rsid w:val="00F26F50"/>
    <w:rPr>
      <w:b/>
      <w:bCs/>
      <w:smallCaps/>
      <w:color w:val="auto"/>
      <w:spacing w:val="5"/>
      <w:u w:val="single"/>
    </w:rPr>
  </w:style>
  <w:style w:type="paragraph" w:customStyle="1" w:styleId="2ColumnHeading">
    <w:name w:val="2Column Heading"/>
    <w:basedOn w:val="BodyText"/>
    <w:qFormat/>
    <w:rsid w:val="00F26F50"/>
    <w:pPr>
      <w:spacing w:after="60"/>
      <w:ind w:left="-2268"/>
    </w:pPr>
    <w:rPr>
      <w:b/>
    </w:rPr>
  </w:style>
  <w:style w:type="paragraph" w:customStyle="1" w:styleId="Heading1TOC">
    <w:name w:val="Heading1 TOC"/>
    <w:basedOn w:val="Normal"/>
    <w:qFormat/>
    <w:rsid w:val="00F26F50"/>
    <w:pPr>
      <w:spacing w:before="240" w:after="120"/>
    </w:pPr>
    <w:rPr>
      <w:rFonts w:ascii="Times New Roman" w:hAnsi="Times New Roman"/>
      <w:b/>
      <w:sz w:val="32"/>
    </w:rPr>
  </w:style>
  <w:style w:type="paragraph" w:customStyle="1" w:styleId="Heading2TOC">
    <w:name w:val="Heading2 TOC"/>
    <w:basedOn w:val="Normal"/>
    <w:qFormat/>
    <w:rsid w:val="00F26F50"/>
    <w:pPr>
      <w:spacing w:before="240" w:after="60"/>
    </w:pPr>
    <w:rPr>
      <w:rFonts w:ascii="Times New Roman" w:hAnsi="Times New Roman"/>
      <w:b/>
      <w:sz w:val="28"/>
    </w:rPr>
  </w:style>
  <w:style w:type="character" w:customStyle="1" w:styleId="Underline">
    <w:name w:val="Underline"/>
    <w:basedOn w:val="DefaultParagraphFont"/>
    <w:qFormat/>
    <w:rsid w:val="00F26F50"/>
    <w:rPr>
      <w:u w:val="single"/>
    </w:rPr>
  </w:style>
  <w:style w:type="character" w:customStyle="1" w:styleId="BoldandItalics">
    <w:name w:val="Bold and Italics"/>
    <w:qFormat/>
    <w:rsid w:val="00F26F50"/>
    <w:rPr>
      <w:b/>
      <w:i/>
      <w:u w:val="none"/>
    </w:rPr>
  </w:style>
  <w:style w:type="paragraph" w:styleId="BalloonText">
    <w:name w:val="Balloon Text"/>
    <w:basedOn w:val="Normal"/>
    <w:link w:val="BalloonTextChar"/>
    <w:rsid w:val="00F26F50"/>
    <w:rPr>
      <w:rFonts w:ascii="Tahoma" w:hAnsi="Tahoma" w:cs="Tahoma"/>
      <w:sz w:val="16"/>
      <w:szCs w:val="16"/>
    </w:rPr>
  </w:style>
  <w:style w:type="character" w:customStyle="1" w:styleId="BalloonTextChar">
    <w:name w:val="Balloon Text Char"/>
    <w:basedOn w:val="DefaultParagraphFont"/>
    <w:link w:val="BalloonText"/>
    <w:rsid w:val="00F26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F50"/>
    <w:rPr>
      <w:b/>
      <w:color w:val="660033"/>
      <w:spacing w:val="0"/>
    </w:rPr>
  </w:style>
  <w:style w:type="paragraph" w:customStyle="1" w:styleId="Nameditemlist">
    <w:name w:val="Named item list"/>
    <w:basedOn w:val="BodyText"/>
    <w:qFormat/>
    <w:rsid w:val="00F26F50"/>
    <w:pPr>
      <w:tabs>
        <w:tab w:val="left" w:pos="2835"/>
      </w:tabs>
      <w:ind w:left="2835" w:hanging="2835"/>
    </w:pPr>
  </w:style>
  <w:style w:type="paragraph" w:customStyle="1" w:styleId="BodyTextnopadding">
    <w:name w:val="Body Text no padding"/>
    <w:basedOn w:val="BodyText"/>
    <w:qFormat/>
    <w:rsid w:val="00F26F50"/>
    <w:pPr>
      <w:spacing w:before="0" w:after="0"/>
    </w:pPr>
  </w:style>
  <w:style w:type="paragraph" w:customStyle="1" w:styleId="BodyTextBold">
    <w:name w:val="Body Text Bold"/>
    <w:basedOn w:val="BodyText"/>
    <w:qFormat/>
    <w:rsid w:val="00F26F50"/>
    <w:rPr>
      <w:b/>
    </w:rPr>
  </w:style>
  <w:style w:type="character" w:styleId="Hyperlink">
    <w:name w:val="Hyperlink"/>
    <w:basedOn w:val="DefaultParagraphFont"/>
    <w:uiPriority w:val="99"/>
    <w:unhideWhenUsed/>
    <w:rsid w:val="00A35B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6252</Characters>
  <Application>Microsoft Office Word</Application>
  <DocSecurity>0</DocSecurity>
  <Lines>215</Lines>
  <Paragraphs>124</Paragraphs>
  <ScaleCrop>false</ScaleCrop>
  <Company>Author-it Software Corporation Ltd.</Company>
  <LinksUpToDate>false</LinksUpToDate>
  <CharactersWithSpaces>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TLIL5055 Manage a supply chain</dc:title>
  <dc:subject>Approved</dc:subject>
  <dc:creator>Industry Skills Australia</dc:creator>
  <cp:keywords>Release: 2</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