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188D" w:rsidP="005B18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TLIL5026 Manage export logistics</w:t>
      </w:r>
      <w:r>
        <w:fldChar w:fldCharType="end"/>
      </w:r>
    </w:p>
    <w:p w:rsidR="005B188D" w:rsidP="005B188D">
      <w:pPr>
        <w:pStyle w:val="Version"/>
        <w:sectPr w:rsidSect="00A35C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5C67" w:rsidP="00A35C67">
      <w:pPr>
        <w:pStyle w:val="SuperHeading"/>
      </w:pPr>
      <w:r w:rsidRPr="00A35C67">
        <w:t>TLIL5026 Manage export logistics</w:t>
      </w:r>
    </w:p>
    <w:p w:rsidR="00000000" w:rsidRPr="00A35C67" w:rsidP="00A35C67">
      <w:pPr>
        <w:pStyle w:val="Heading1"/>
      </w:pPr>
      <w:bookmarkStart w:id="1" w:name="O_741142"/>
      <w:bookmarkEnd w:id="1"/>
      <w:r w:rsidRPr="00A35C67">
        <w:t>Modification History</w:t>
      </w:r>
    </w:p>
    <w:p w:rsidR="005B188D" w:rsidP="005B188D">
      <w:pPr>
        <w:pStyle w:val="BodyText"/>
      </w:pPr>
      <w:r w:rsidRPr="00A35C67">
        <w:t>Release 1. This is the first release of this unit of competency in the TLI Transport and Logistics Training Package.</w:t>
      </w:r>
    </w:p>
    <w:p w:rsidR="00000000" w:rsidRPr="00A35C67" w:rsidP="00A35C67">
      <w:pPr>
        <w:pStyle w:val="Heading1"/>
      </w:pPr>
      <w:bookmarkStart w:id="2" w:name="O_741143"/>
      <w:bookmarkEnd w:id="2"/>
      <w:r w:rsidRPr="00A35C67">
        <w:t>Application</w:t>
      </w:r>
    </w:p>
    <w:p w:rsidR="00000000" w:rsidRPr="00A35C67" w:rsidP="005B188D">
      <w:pPr>
        <w:pStyle w:val="BodyText"/>
      </w:pPr>
      <w:r w:rsidRPr="00A35C67">
        <w:t>This unit involves the skills and knowledge required to manage export logistics in accor</w:t>
      </w:r>
      <w:r w:rsidRPr="00A35C67">
        <w:t>dance with relevant regulatory requirements, workplace procedures, standards and codes of practice, including Australian and International Dangerous Goods Codes.</w:t>
      </w:r>
    </w:p>
    <w:p w:rsidR="00000000" w:rsidRPr="00A35C67" w:rsidP="005B188D">
      <w:pPr>
        <w:pStyle w:val="BodyText"/>
      </w:pPr>
      <w:r w:rsidRPr="00A35C67">
        <w:t>It includes planning efficient export logistics operations, developing appropriate contingency</w:t>
      </w:r>
      <w:r w:rsidRPr="00A35C67">
        <w:t xml:space="preserve"> management strategies, producing operation schedules as well as monitoring and coordinating systems for export logistics.</w:t>
      </w:r>
    </w:p>
    <w:p w:rsidR="00000000" w:rsidRPr="00A35C67" w:rsidP="005B188D">
      <w:pPr>
        <w:pStyle w:val="BodyText"/>
      </w:pPr>
      <w:r w:rsidRPr="00A35C67">
        <w:t>Work is under general guidance on progress and outcomes. It requires discretion and judgement for self and others in planning and usi</w:t>
      </w:r>
      <w:r w:rsidRPr="00A35C67">
        <w:t>ng resources, services and processes to achieve required outcomes.</w:t>
      </w:r>
    </w:p>
    <w:p w:rsidR="00000000" w:rsidRPr="00A35C67" w:rsidP="005B188D">
      <w:pPr>
        <w:pStyle w:val="BodyText"/>
      </w:pPr>
      <w:r w:rsidRPr="00A35C67">
        <w:t>The unit generally applies to those with responsibility for resource coordination and allocation, who lead individuals or teams.</w:t>
      </w:r>
    </w:p>
    <w:p w:rsidR="005B188D" w:rsidP="005B188D">
      <w:pPr>
        <w:pStyle w:val="BodyText"/>
      </w:pPr>
      <w:r w:rsidRPr="00A35C67">
        <w:t>No licensing, legislative or certification requirements appl</w:t>
      </w:r>
      <w:r w:rsidRPr="00A35C67">
        <w:t>y to this unit at the time of publication.</w:t>
      </w:r>
    </w:p>
    <w:p w:rsidR="00000000" w:rsidRPr="00A35C67" w:rsidP="00A35C67">
      <w:pPr>
        <w:pStyle w:val="Heading1"/>
      </w:pPr>
      <w:bookmarkStart w:id="3" w:name="O_741144"/>
      <w:bookmarkEnd w:id="3"/>
      <w:r w:rsidRPr="00A35C67">
        <w:t>Pre-requisite Unit</w:t>
      </w:r>
    </w:p>
    <w:p w:rsidR="00000000" w:rsidRPr="00A35C67" w:rsidP="005B188D">
      <w:pPr>
        <w:pStyle w:val="BodyText"/>
      </w:pPr>
      <w:r w:rsidRPr="00A35C67">
        <w:t>Not applicable.</w:t>
      </w:r>
    </w:p>
    <w:p w:rsidR="00000000" w:rsidRPr="00A35C67" w:rsidP="00A35C67">
      <w:pPr>
        <w:pStyle w:val="Heading1"/>
      </w:pPr>
      <w:bookmarkStart w:id="4" w:name="O_741145"/>
      <w:bookmarkEnd w:id="4"/>
      <w:r w:rsidRPr="00A35C67">
        <w:t>Competency Field</w:t>
      </w:r>
    </w:p>
    <w:p w:rsidR="005B188D" w:rsidP="005B188D">
      <w:pPr>
        <w:pStyle w:val="BodyText"/>
      </w:pPr>
      <w:r w:rsidRPr="00A35C67">
        <w:t>L ‒ Resource Management</w:t>
      </w:r>
    </w:p>
    <w:p w:rsidR="00000000" w:rsidRPr="00A35C67" w:rsidP="00A35C67">
      <w:pPr>
        <w:pStyle w:val="Heading1"/>
      </w:pPr>
      <w:bookmarkStart w:id="5" w:name="O_741146"/>
      <w:bookmarkEnd w:id="5"/>
      <w:r w:rsidRPr="00A35C67">
        <w:t>Unit Sector</w:t>
      </w:r>
    </w:p>
    <w:p w:rsidR="00000000" w:rsidRPr="00A35C67" w:rsidP="005B188D">
      <w:pPr>
        <w:pStyle w:val="BodyText"/>
      </w:pPr>
      <w:r w:rsidRPr="00A35C67">
        <w:t>Not applicable.</w:t>
      </w:r>
    </w:p>
    <w:p w:rsidR="00000000" w:rsidRPr="00A35C67" w:rsidP="00A35C67">
      <w:pPr>
        <w:pStyle w:val="Heading1"/>
      </w:pPr>
      <w:bookmarkStart w:id="6" w:name="O_741147"/>
      <w:bookmarkEnd w:id="6"/>
      <w:r w:rsidRPr="00A35C67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5B188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C67" w:rsidP="00A35C67">
            <w:pPr>
              <w:pStyle w:val="BodyText"/>
            </w:pPr>
            <w:r w:rsidRPr="00A35C67">
              <w:rPr>
                <w:rStyle w:val="SpecialBold"/>
              </w:rPr>
              <w:t>ELEME</w:t>
            </w:r>
            <w:r w:rsidRPr="00A35C67">
              <w:rPr>
                <w:rStyle w:val="SpecialBold"/>
              </w:rPr>
              <w:t>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rPr>
                <w:rStyle w:val="SpecialBold"/>
              </w:rPr>
              <w:t>PERFORMANCE CRITERIA</w:t>
            </w:r>
          </w:p>
        </w:tc>
      </w:tr>
      <w:tr w:rsidTr="005B188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>Performance criteria describe the performance needed to demonstrate achievement of the element.</w:t>
            </w:r>
          </w:p>
        </w:tc>
      </w:tr>
      <w:tr w:rsidTr="005B188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C67" w:rsidP="00A35C67">
            <w:pPr>
              <w:pStyle w:val="BodyText"/>
            </w:pPr>
            <w:r w:rsidRPr="00A35C67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rPr>
                <w:rStyle w:val="SpecialBold"/>
              </w:rPr>
              <w:t>Plan efficient export logistics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>Australian and international codes and regulations, and workplace policies for export logistics are identified</w:t>
            </w:r>
          </w:p>
        </w:tc>
      </w:tr>
      <w:tr w:rsidTr="005B188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>Consignment loads are evaluated in terms of critical parameters and customer instructions</w:t>
            </w:r>
          </w:p>
        </w:tc>
      </w:tr>
      <w:tr w:rsidTr="005B188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>Capacity and capability of different local and overseas transport modes available to the organisation are assessed against proposed logistics tasks</w:t>
            </w:r>
          </w:p>
        </w:tc>
      </w:tr>
      <w:tr w:rsidTr="005B188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 xml:space="preserve">Preliminary schedules are matched against operational capacity and capability of available transport </w:t>
            </w:r>
            <w:r w:rsidRPr="00A35C67">
              <w:t>systems, equipment and staff</w:t>
            </w:r>
          </w:p>
        </w:tc>
      </w:tr>
      <w:tr w:rsidTr="005B188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>Export logistics are planned for efficient and effective delivery and load handling in accordance with relevant regulatory and workplace procedures, taking into account key requirements</w:t>
            </w:r>
          </w:p>
        </w:tc>
      </w:tr>
      <w:tr w:rsidTr="005B188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>Strategies to address ident</w:t>
            </w:r>
            <w:r w:rsidRPr="00A35C67">
              <w:t>ified deficiencies in operational capability and availability are undertaken in accordance with workplace procedures</w:t>
            </w:r>
          </w:p>
        </w:tc>
      </w:tr>
      <w:tr w:rsidTr="005B188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C67" w:rsidP="00A35C67">
            <w:pPr>
              <w:pStyle w:val="BodyText"/>
            </w:pPr>
            <w:r w:rsidRPr="00A35C67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rPr>
                <w:rStyle w:val="SpecialBold"/>
              </w:rPr>
              <w:t>Develop contingency management strategy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>Quality standards and procedures for export logistics processes are confirmed and/or updated in accordance with workplace procedures</w:t>
            </w:r>
          </w:p>
        </w:tc>
      </w:tr>
      <w:tr w:rsidTr="005B188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>Nature, extent and impact of potential issues or incidents in the planned export logistics are assessed</w:t>
            </w:r>
          </w:p>
        </w:tc>
      </w:tr>
      <w:tr w:rsidTr="005B188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>Conti</w:t>
            </w:r>
            <w:r w:rsidRPr="00A35C67">
              <w:t xml:space="preserve">ngency management strategies for identified issues/incidents are established and evaluated including reference to previous similar scenarios </w:t>
            </w:r>
          </w:p>
        </w:tc>
      </w:tr>
      <w:tr w:rsidTr="005B188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>Implementation procedures, including resource and infrastructure support, are documented and continually upgraded in regard to established quality standards and any changes in the Australian and the international operating environments</w:t>
            </w:r>
          </w:p>
        </w:tc>
      </w:tr>
      <w:tr w:rsidTr="005B188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C67" w:rsidP="00A35C67">
            <w:pPr>
              <w:pStyle w:val="BodyText"/>
            </w:pPr>
            <w:r w:rsidRPr="00A35C67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rPr>
                <w:rStyle w:val="SpecialBold"/>
              </w:rPr>
              <w:t>Produce operation</w:t>
            </w:r>
            <w:r w:rsidRPr="00A35C67">
              <w:rPr>
                <w:rStyle w:val="SpecialBold"/>
              </w:rPr>
              <w:t xml:space="preserve"> schedules for export logistics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>Local and overseas transportation modes, times and routes are established to maximise effective and efficient operations</w:t>
            </w:r>
          </w:p>
        </w:tc>
      </w:tr>
      <w:tr w:rsidTr="005B188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>Resources are arranged in association with relevant Australian and overseas personnel to mee</w:t>
            </w:r>
            <w:r w:rsidRPr="00A35C67">
              <w:t>t operational schedules</w:t>
            </w:r>
          </w:p>
        </w:tc>
      </w:tr>
      <w:tr w:rsidTr="005B188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>Australian and international regulatory requirements, codes of practice and workplace procedures are identified and accounted for in operational schedule</w:t>
            </w:r>
          </w:p>
        </w:tc>
      </w:tr>
      <w:tr w:rsidTr="005B188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>Tracking procedures are applied to consignment/s using relevant technology and systems in accordance with workplace procedures</w:t>
            </w:r>
          </w:p>
        </w:tc>
      </w:tr>
      <w:tr w:rsidTr="005B188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>Schedule is consolidated and forwarded to appropriate personnel</w:t>
            </w:r>
          </w:p>
        </w:tc>
      </w:tr>
      <w:tr w:rsidTr="005B188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>Schedule is stored in accordance with workplace pro</w:t>
            </w:r>
            <w:r w:rsidRPr="00A35C67">
              <w:t>cedures</w:t>
            </w:r>
          </w:p>
        </w:tc>
      </w:tr>
      <w:tr w:rsidTr="005B188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C67" w:rsidP="00A35C67">
            <w:pPr>
              <w:pStyle w:val="BodyText"/>
            </w:pPr>
            <w:r w:rsidRPr="00A35C67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rPr>
                <w:rStyle w:val="SpecialBold"/>
              </w:rPr>
              <w:t>Monitor and coordinate systems for export logistics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>Export logistics are monitored against identified quality standards, planned processes, and compliance with Australian and international regulatory requirements</w:t>
            </w:r>
          </w:p>
        </w:tc>
      </w:tr>
      <w:tr w:rsidTr="005B188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>Non-compliance with quality standards, planned processes or regulatory requirements is identified and appropriate action is initiated to report and rectify identified problems</w:t>
            </w:r>
          </w:p>
        </w:tc>
      </w:tr>
      <w:tr w:rsidTr="005B188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>Customer satisfaction with export logistics operations is monitored using</w:t>
            </w:r>
            <w:r w:rsidRPr="00A35C67">
              <w:t xml:space="preserve"> appropriate methods</w:t>
            </w:r>
          </w:p>
        </w:tc>
      </w:tr>
      <w:tr w:rsidTr="005B188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>Customer concerns and suggestions for service improvements are acted upon in accordance with workplace procedures</w:t>
            </w:r>
          </w:p>
        </w:tc>
      </w:tr>
      <w:tr w:rsidTr="005B188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>Reports and other required documentation related to export logistics are completed and referred to relevant personnel in accordance with workplace procedures</w:t>
            </w:r>
          </w:p>
        </w:tc>
      </w:tr>
      <w:tr w:rsidTr="005B188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7">
            <w:pPr>
              <w:pStyle w:val="BodyText"/>
              <w:rPr>
                <w:lang w:val="en-NZ"/>
              </w:rPr>
            </w:pPr>
            <w:r w:rsidRPr="00A35C67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C67" w:rsidP="00A35C67">
            <w:pPr>
              <w:pStyle w:val="BodyText"/>
            </w:pPr>
            <w:r w:rsidRPr="00A35C67">
              <w:t>Changes in Australian and international regulations and codes of practice relevant to expor</w:t>
            </w:r>
            <w:r w:rsidRPr="00A35C67">
              <w:t>t logistics are monitored, identified and appropriate action is initiated to ensure ongoing compliance of export logistics processes and systems</w:t>
            </w:r>
          </w:p>
        </w:tc>
      </w:tr>
    </w:tbl>
    <w:p w:rsidR="005B188D" w:rsidP="00A35C67">
      <w:pPr>
        <w:pStyle w:val="BodyText"/>
      </w:pPr>
    </w:p>
    <w:p w:rsidR="005B188D" w:rsidP="00A35C67">
      <w:pPr>
        <w:pStyle w:val="BodyText"/>
      </w:pPr>
    </w:p>
    <w:p w:rsidR="00000000" w:rsidRPr="00A35C67" w:rsidP="00A35C67">
      <w:pPr>
        <w:pStyle w:val="Heading1"/>
      </w:pPr>
      <w:bookmarkStart w:id="7" w:name="O_741148"/>
      <w:bookmarkEnd w:id="7"/>
      <w:r w:rsidRPr="00A35C67">
        <w:t>Foundation Skills</w:t>
      </w:r>
    </w:p>
    <w:p w:rsidR="005B188D" w:rsidP="005B188D">
      <w:pPr>
        <w:pStyle w:val="BodyText"/>
      </w:pPr>
      <w:r w:rsidRPr="00A35C67">
        <w:t>Foundation skills essential to performance are explicit in the performanc</w:t>
      </w:r>
      <w:r w:rsidRPr="00A35C67">
        <w:t>e criteria of this unit of competency.</w:t>
      </w:r>
    </w:p>
    <w:p w:rsidR="00000000" w:rsidRPr="00A35C67" w:rsidP="00A35C67">
      <w:pPr>
        <w:pStyle w:val="Heading1"/>
      </w:pPr>
      <w:bookmarkStart w:id="8" w:name="O_741149"/>
      <w:bookmarkEnd w:id="8"/>
      <w:r w:rsidRPr="00A35C67">
        <w:t>Range of Conditions</w:t>
      </w:r>
    </w:p>
    <w:p w:rsidR="00000000" w:rsidRPr="00A35C67" w:rsidP="005B188D">
      <w:pPr>
        <w:pStyle w:val="BodyText"/>
      </w:pPr>
      <w:r w:rsidRPr="00A35C67">
        <w:t>Range is restricted to essential operating conditions and any other variables essential to the work environment.</w:t>
      </w:r>
    </w:p>
    <w:p w:rsidR="005B188D" w:rsidP="005B188D">
      <w:pPr>
        <w:pStyle w:val="BodyText"/>
      </w:pPr>
      <w:r w:rsidRPr="00A35C67">
        <w:t>Non-essential conditions can be found in the Companion Volume Implementation Guide.</w:t>
      </w:r>
    </w:p>
    <w:p w:rsidR="00000000" w:rsidRPr="00A35C67" w:rsidP="00A35C67">
      <w:pPr>
        <w:pStyle w:val="Heading1"/>
      </w:pPr>
      <w:bookmarkStart w:id="9" w:name="O_741150"/>
      <w:bookmarkEnd w:id="9"/>
      <w:r w:rsidRPr="00A35C67">
        <w:t>Unit Mapping Information</w:t>
      </w:r>
    </w:p>
    <w:p w:rsidR="005B188D" w:rsidP="005B188D">
      <w:pPr>
        <w:pStyle w:val="BodyText"/>
      </w:pPr>
      <w:r w:rsidRPr="00A35C67">
        <w:t>This unit replaces and is equivalent to TLIL5026A Manage export logistics.</w:t>
      </w:r>
    </w:p>
    <w:p w:rsidR="00000000" w:rsidRPr="00A35C67" w:rsidP="00A35C67">
      <w:pPr>
        <w:pStyle w:val="Heading1"/>
      </w:pPr>
      <w:bookmarkStart w:id="10" w:name="O_741157"/>
      <w:bookmarkEnd w:id="10"/>
      <w:r w:rsidRPr="00A35C67">
        <w:t>Links</w:t>
      </w:r>
    </w:p>
    <w:p w:rsidR="00000000" w:rsidRPr="00A35C67" w:rsidP="005B188D">
      <w:pPr>
        <w:pStyle w:val="BodyText"/>
      </w:pPr>
      <w:r w:rsidRPr="00A35C67">
        <w:t>Companion Volume implementatio</w:t>
      </w:r>
      <w:r w:rsidRPr="00A35C67">
        <w:t xml:space="preserve">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F457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35C67" w:rsidP="00A35C67"/>
    <w:sectPr w:rsidSect="00A35C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C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C67" w:rsidRPr="005B188D" w:rsidP="005B18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C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88D" w:rsidP="00A35C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188D" w:rsidP="00A35C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B188D" w:rsidP="00A35C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C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8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5C67" w:rsidRPr="005B188D" w:rsidP="005B18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C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88D" w:rsidRPr="002D2AF8" w:rsidP="00A35C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TLIL5026 Manage export logistics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B188D" w:rsidP="00A35C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C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5C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5C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5C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5C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5C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5C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5C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5C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5C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5C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5C67"/>
  </w:style>
  <w:style w:type="character" w:customStyle="1" w:styleId="Heading1Char">
    <w:name w:val="Heading 1 Char"/>
    <w:basedOn w:val="DefaultParagraphFont"/>
    <w:link w:val="Heading1"/>
    <w:rsid w:val="00A35C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5C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5C6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35C67"/>
    <w:rPr>
      <w:b/>
      <w:spacing w:val="0"/>
    </w:rPr>
  </w:style>
  <w:style w:type="paragraph" w:customStyle="1" w:styleId="SuperHeading">
    <w:name w:val="SuperHeading"/>
    <w:basedOn w:val="Normal"/>
    <w:rsid w:val="00A35C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5C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5C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5C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5C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5C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5C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5C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5C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5C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5C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5C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5C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5C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5C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5C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5C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5C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5C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5C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5C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5C6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35C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5C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5C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5C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5C6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5C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5C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5C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5C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5C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5C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5C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5C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5C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5C67"/>
    <w:rPr>
      <w:i/>
    </w:rPr>
  </w:style>
  <w:style w:type="paragraph" w:styleId="Caption">
    <w:name w:val="caption"/>
    <w:basedOn w:val="BodyText"/>
    <w:next w:val="Normal"/>
    <w:qFormat/>
    <w:rsid w:val="00A35C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5C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5C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5C67"/>
  </w:style>
  <w:style w:type="paragraph" w:styleId="TableofFigures">
    <w:name w:val="table of figures"/>
    <w:basedOn w:val="Normal"/>
    <w:next w:val="Normal"/>
    <w:semiHidden/>
    <w:rsid w:val="00A35C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5C6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35C67"/>
    <w:rPr>
      <w:rFonts w:ascii="Wingdings" w:hAnsi="Wingdings"/>
    </w:rPr>
  </w:style>
  <w:style w:type="paragraph" w:customStyle="1" w:styleId="TableHeading">
    <w:name w:val="Table Heading"/>
    <w:basedOn w:val="HeadingBase"/>
    <w:rsid w:val="00A35C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5C67"/>
    <w:rPr>
      <w:color w:val="0033CC"/>
      <w:u w:val="none"/>
    </w:rPr>
  </w:style>
  <w:style w:type="paragraph" w:customStyle="1" w:styleId="BodyTextRight">
    <w:name w:val="Body Text Right"/>
    <w:basedOn w:val="BodyText"/>
    <w:rsid w:val="00A35C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5C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5C6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5C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5C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5C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5C67"/>
    <w:rPr>
      <w:sz w:val="32"/>
    </w:rPr>
  </w:style>
  <w:style w:type="paragraph" w:customStyle="1" w:styleId="HeadingProcedure">
    <w:name w:val="Heading Procedure"/>
    <w:basedOn w:val="HeadingBase"/>
    <w:next w:val="Normal"/>
    <w:rsid w:val="00A35C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5C67"/>
    <w:pPr>
      <w:spacing w:before="60" w:after="60"/>
    </w:pPr>
  </w:style>
  <w:style w:type="paragraph" w:styleId="ListContinue">
    <w:name w:val="List Continue"/>
    <w:basedOn w:val="List"/>
    <w:rsid w:val="00A35C67"/>
    <w:pPr>
      <w:ind w:firstLine="0"/>
    </w:pPr>
  </w:style>
  <w:style w:type="paragraph" w:customStyle="1" w:styleId="ListNote">
    <w:name w:val="List Note"/>
    <w:basedOn w:val="List"/>
    <w:rsid w:val="00A35C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5C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5C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5C67"/>
    <w:rPr>
      <w:rFonts w:ascii="Courier New" w:hAnsi="Courier New"/>
    </w:rPr>
  </w:style>
  <w:style w:type="paragraph" w:customStyle="1" w:styleId="NoteBullet">
    <w:name w:val="Note Bullet"/>
    <w:basedOn w:val="Note"/>
    <w:rsid w:val="00A35C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5C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5C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5C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5C6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35C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5C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5C67"/>
    <w:rPr>
      <w:b/>
      <w:smallCaps/>
    </w:rPr>
  </w:style>
  <w:style w:type="paragraph" w:customStyle="1" w:styleId="TableListNumber">
    <w:name w:val="Table List Number"/>
    <w:basedOn w:val="ListNumber"/>
    <w:rsid w:val="00A35C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5C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5C67"/>
    <w:pPr>
      <w:numPr>
        <w:numId w:val="7"/>
      </w:numPr>
    </w:pPr>
  </w:style>
  <w:style w:type="paragraph" w:customStyle="1" w:styleId="ListAlpha2">
    <w:name w:val="List Alpha 2"/>
    <w:basedOn w:val="List2"/>
    <w:rsid w:val="00A35C67"/>
    <w:pPr>
      <w:numPr>
        <w:numId w:val="6"/>
      </w:numPr>
    </w:pPr>
  </w:style>
  <w:style w:type="paragraph" w:styleId="List2">
    <w:name w:val="List 2"/>
    <w:basedOn w:val="BodyText"/>
    <w:rsid w:val="00A35C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5C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5C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5C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5C6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5C6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35C67"/>
    <w:pPr>
      <w:numPr>
        <w:numId w:val="2"/>
      </w:numPr>
    </w:pPr>
  </w:style>
  <w:style w:type="paragraph" w:styleId="ListContinue2">
    <w:name w:val="List Continue 2"/>
    <w:basedOn w:val="List2"/>
    <w:rsid w:val="00A35C67"/>
    <w:pPr>
      <w:ind w:firstLine="0"/>
    </w:pPr>
  </w:style>
  <w:style w:type="paragraph" w:styleId="ListContinue3">
    <w:name w:val="List Continue 3"/>
    <w:basedOn w:val="List3"/>
    <w:rsid w:val="00A35C67"/>
    <w:pPr>
      <w:ind w:left="1021" w:firstLine="0"/>
    </w:pPr>
  </w:style>
  <w:style w:type="paragraph" w:styleId="ListContinue4">
    <w:name w:val="List Continue 4"/>
    <w:basedOn w:val="List4"/>
    <w:rsid w:val="00A35C67"/>
    <w:pPr>
      <w:ind w:firstLine="0"/>
    </w:pPr>
  </w:style>
  <w:style w:type="paragraph" w:styleId="ListContinue5">
    <w:name w:val="List Continue 5"/>
    <w:basedOn w:val="List5"/>
    <w:rsid w:val="00A35C67"/>
    <w:pPr>
      <w:ind w:firstLine="0"/>
    </w:pPr>
  </w:style>
  <w:style w:type="paragraph" w:styleId="ListNumber3">
    <w:name w:val="List Number 3"/>
    <w:basedOn w:val="List3"/>
    <w:rsid w:val="00A35C67"/>
    <w:pPr>
      <w:numPr>
        <w:numId w:val="3"/>
      </w:numPr>
    </w:pPr>
  </w:style>
  <w:style w:type="paragraph" w:styleId="ListNumber4">
    <w:name w:val="List Number 4"/>
    <w:basedOn w:val="List4"/>
    <w:rsid w:val="00A35C67"/>
    <w:pPr>
      <w:numPr>
        <w:numId w:val="4"/>
      </w:numPr>
    </w:pPr>
  </w:style>
  <w:style w:type="paragraph" w:styleId="ListNumber5">
    <w:name w:val="List Number 5"/>
    <w:basedOn w:val="List5"/>
    <w:rsid w:val="00A35C67"/>
    <w:pPr>
      <w:numPr>
        <w:numId w:val="5"/>
      </w:numPr>
    </w:pPr>
  </w:style>
  <w:style w:type="paragraph" w:styleId="BlockText">
    <w:name w:val="Block Text"/>
    <w:basedOn w:val="Normal"/>
    <w:rsid w:val="00A35C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5C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5C67"/>
    <w:rPr>
      <w:sz w:val="16"/>
      <w:vertAlign w:val="superscript"/>
    </w:rPr>
  </w:style>
  <w:style w:type="character" w:customStyle="1" w:styleId="Symbols">
    <w:name w:val="Symbols"/>
    <w:basedOn w:val="DefaultParagraphFont"/>
    <w:rsid w:val="00A35C67"/>
    <w:rPr>
      <w:rFonts w:ascii="Symbol" w:hAnsi="Symbol"/>
    </w:rPr>
  </w:style>
  <w:style w:type="character" w:customStyle="1" w:styleId="MenuOptions">
    <w:name w:val="Menu Options"/>
    <w:basedOn w:val="DefaultParagraphFont"/>
    <w:rsid w:val="00A35C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5C67"/>
    <w:rPr>
      <w:b/>
    </w:rPr>
  </w:style>
  <w:style w:type="character" w:customStyle="1" w:styleId="Underlined">
    <w:name w:val="Underlined"/>
    <w:basedOn w:val="DefaultParagraphFont"/>
    <w:rsid w:val="00A35C67"/>
    <w:rPr>
      <w:u w:val="single"/>
    </w:rPr>
  </w:style>
  <w:style w:type="paragraph" w:customStyle="1" w:styleId="TableBodyTextRight">
    <w:name w:val="Table Body Text Right"/>
    <w:basedOn w:val="TableBodyText"/>
    <w:rsid w:val="00A35C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5C67"/>
    <w:rPr>
      <w:sz w:val="18"/>
    </w:rPr>
  </w:style>
  <w:style w:type="paragraph" w:customStyle="1" w:styleId="BodySmallRight">
    <w:name w:val="Body Small Right"/>
    <w:basedOn w:val="BodyTextRight"/>
    <w:rsid w:val="00A35C67"/>
    <w:rPr>
      <w:sz w:val="18"/>
      <w:szCs w:val="18"/>
    </w:rPr>
  </w:style>
  <w:style w:type="paragraph" w:customStyle="1" w:styleId="MarginEdition">
    <w:name w:val="Margin Edition"/>
    <w:basedOn w:val="MarginNote"/>
    <w:rsid w:val="00A35C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5C67"/>
    <w:rPr>
      <w:sz w:val="2"/>
      <w:szCs w:val="2"/>
    </w:rPr>
  </w:style>
  <w:style w:type="character" w:customStyle="1" w:styleId="Small">
    <w:name w:val="Small"/>
    <w:basedOn w:val="DefaultParagraphFont"/>
    <w:rsid w:val="00A35C67"/>
    <w:rPr>
      <w:sz w:val="16"/>
    </w:rPr>
  </w:style>
  <w:style w:type="paragraph" w:customStyle="1" w:styleId="WideTable">
    <w:name w:val="Wide Table"/>
    <w:basedOn w:val="Normal"/>
    <w:rsid w:val="00A35C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5C67"/>
  </w:style>
  <w:style w:type="paragraph" w:styleId="Quote">
    <w:name w:val="Quote"/>
    <w:basedOn w:val="Heading1"/>
    <w:link w:val="QuoteChar"/>
    <w:qFormat/>
    <w:rsid w:val="00A35C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5C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5C67"/>
    <w:pPr>
      <w:pageBreakBefore/>
    </w:pPr>
  </w:style>
  <w:style w:type="paragraph" w:customStyle="1" w:styleId="Border">
    <w:name w:val="Border"/>
    <w:basedOn w:val="Normal"/>
    <w:qFormat/>
    <w:rsid w:val="00A35C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5C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5C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5C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5C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5C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5C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5C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5C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5C67"/>
    <w:rPr>
      <w:u w:val="single"/>
    </w:rPr>
  </w:style>
  <w:style w:type="character" w:customStyle="1" w:styleId="BoldandItalics">
    <w:name w:val="Bold and Italics"/>
    <w:qFormat/>
    <w:rsid w:val="00A35C67"/>
    <w:rPr>
      <w:b/>
      <w:i/>
      <w:u w:val="none"/>
    </w:rPr>
  </w:style>
  <w:style w:type="paragraph" w:styleId="BalloonText">
    <w:name w:val="Balloon Text"/>
    <w:basedOn w:val="Normal"/>
    <w:link w:val="BalloonTextChar"/>
    <w:rsid w:val="00A35C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5C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5C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5C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5C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5C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5C67"/>
    <w:pPr>
      <w:spacing w:before="0" w:after="0"/>
    </w:pPr>
  </w:style>
  <w:style w:type="paragraph" w:customStyle="1" w:styleId="BodyTextBold">
    <w:name w:val="Body Text Bold"/>
    <w:basedOn w:val="BodyText"/>
    <w:qFormat/>
    <w:rsid w:val="00A35C67"/>
    <w:rPr>
      <w:b/>
    </w:rPr>
  </w:style>
  <w:style w:type="character" w:styleId="Hyperlink">
    <w:name w:val="Hyperlink"/>
    <w:basedOn w:val="DefaultParagraphFont"/>
    <w:uiPriority w:val="99"/>
    <w:unhideWhenUsed/>
    <w:rsid w:val="005B18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725</Words>
  <Characters>4817</Characters>
  <Application>Microsoft Office Word</Application>
  <DocSecurity>0</DocSecurity>
  <Lines>200</Lines>
  <Paragraphs>98</Paragraphs>
  <ScaleCrop>false</ScaleCrop>
  <Company>Author-it Software Corporation Ltd.</Company>
  <LinksUpToDate>false</LinksUpToDate>
  <CharactersWithSpaces>5444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TLIL5026 Manage export logistics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2024-07-12T08:04:00Z</dcterms:created>
  <dcterms:modified xsi:type="dcterms:W3CDTF">2024-07-12T08:04:00Z</dcterms:modified>
</cp:coreProperties>
</file>