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DBD" w:rsidP="001E3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TLIL4081 Ensure competency of rail safety workers</w:t>
      </w:r>
      <w:r>
        <w:fldChar w:fldCharType="end"/>
      </w:r>
    </w:p>
    <w:p w:rsidR="001E3DBD" w:rsidP="001E3DBD">
      <w:pPr>
        <w:pStyle w:val="Version"/>
        <w:sectPr w:rsidSect="00750F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FC4" w:rsidP="00750FC4">
      <w:pPr>
        <w:pStyle w:val="SuperHeading"/>
      </w:pPr>
      <w:r w:rsidRPr="00750FC4">
        <w:t>TLIL4081 Ensure competency of rail safety workers</w:t>
      </w:r>
    </w:p>
    <w:p w:rsidR="00000000" w:rsidRPr="00750FC4" w:rsidP="00750FC4">
      <w:pPr>
        <w:pStyle w:val="Heading1"/>
      </w:pPr>
      <w:bookmarkStart w:id="1" w:name="O_753005"/>
      <w:bookmarkEnd w:id="1"/>
      <w:r w:rsidRPr="00750FC4">
        <w:t>Modification History</w:t>
      </w:r>
    </w:p>
    <w:p w:rsidR="001E3DBD" w:rsidP="001E3DBD">
      <w:pPr>
        <w:pStyle w:val="BodyText"/>
      </w:pPr>
      <w:r w:rsidRPr="00750FC4">
        <w:t>Release 1. This is the first release of this unit of competency in the TLI Transport and Logistics Training Package.</w:t>
      </w:r>
    </w:p>
    <w:p w:rsidR="00000000" w:rsidRPr="00750FC4" w:rsidP="00750FC4">
      <w:pPr>
        <w:pStyle w:val="Heading1"/>
      </w:pPr>
      <w:bookmarkStart w:id="2" w:name="O_753006"/>
      <w:bookmarkEnd w:id="2"/>
      <w:r w:rsidRPr="00750FC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C4" w:rsidP="00750FC4">
            <w:pPr>
              <w:pStyle w:val="BodyText"/>
            </w:pPr>
            <w:r w:rsidRPr="00750FC4">
              <w:t>This unit involves the skills and knowledge required to ensure the competency of</w:t>
            </w:r>
            <w:r w:rsidRPr="00750FC4">
              <w:t xml:space="preserve"> rail safety workers.</w:t>
            </w:r>
          </w:p>
          <w:p w:rsidR="00000000" w:rsidRPr="00750FC4" w:rsidP="00750FC4">
            <w:pPr>
              <w:pStyle w:val="BodyText"/>
            </w:pPr>
            <w:r w:rsidRPr="00750FC4">
              <w:t>It includes identifying, implementing and monitoring requirements for managing the competency of rail safety workers.</w:t>
            </w:r>
          </w:p>
          <w:p w:rsidR="00000000" w:rsidRPr="00750FC4" w:rsidP="00750FC4">
            <w:pPr>
              <w:pStyle w:val="BodyText"/>
            </w:pPr>
            <w:r w:rsidRPr="00750FC4">
              <w:t>Work must be carried out in compliance with rail industry standards, rules, regulations and organisational procedure</w:t>
            </w:r>
            <w:r w:rsidRPr="00750FC4">
              <w:t xml:space="preserve">s. </w:t>
            </w:r>
          </w:p>
          <w:p w:rsidR="00000000" w:rsidRPr="00750FC4" w:rsidP="00750FC4">
            <w:pPr>
              <w:pStyle w:val="BodyText"/>
            </w:pPr>
            <w:r w:rsidRPr="00750FC4">
              <w:t>The unit generally applies to those with responsibility for resource coordination and allocation, and for leading others individually or in teams.</w:t>
            </w:r>
          </w:p>
          <w:p w:rsidR="00000000" w:rsidRPr="00750FC4" w:rsidP="00750FC4">
            <w:pPr>
              <w:pStyle w:val="BodyText"/>
            </w:pPr>
            <w:r w:rsidRPr="00750FC4">
              <w:t>No licensing, legislative or certification requirements apply to this unit at the time of publication.</w:t>
            </w:r>
          </w:p>
        </w:tc>
      </w:tr>
    </w:tbl>
    <w:p w:rsidR="00000000" w:rsidRPr="00750FC4" w:rsidP="00750FC4">
      <w:pPr>
        <w:pStyle w:val="BodyText"/>
      </w:pPr>
    </w:p>
    <w:p w:rsidR="00000000" w:rsidRPr="00750FC4" w:rsidP="00750FC4">
      <w:pPr>
        <w:pStyle w:val="AllowPageBreak"/>
      </w:pPr>
    </w:p>
    <w:p w:rsidR="00000000" w:rsidRPr="00750FC4" w:rsidP="00750FC4">
      <w:pPr>
        <w:pStyle w:val="Heading1"/>
      </w:pPr>
      <w:bookmarkStart w:id="3" w:name="O_753007"/>
      <w:bookmarkEnd w:id="3"/>
      <w:r w:rsidRPr="00750FC4">
        <w:t>Pre-requisite Unit</w:t>
      </w:r>
    </w:p>
    <w:p w:rsidR="001E3DBD" w:rsidP="001E3DBD">
      <w:pPr>
        <w:pStyle w:val="BodyText"/>
      </w:pPr>
      <w:r w:rsidRPr="00750FC4">
        <w:t>Not applicable.</w:t>
      </w:r>
    </w:p>
    <w:p w:rsidR="00000000" w:rsidRPr="00750FC4" w:rsidP="00750FC4">
      <w:pPr>
        <w:pStyle w:val="Heading1"/>
      </w:pPr>
      <w:bookmarkStart w:id="4" w:name="O_753008"/>
      <w:bookmarkEnd w:id="4"/>
      <w:r w:rsidRPr="00750FC4">
        <w:t>Competency Field</w:t>
      </w:r>
    </w:p>
    <w:p w:rsidR="001E3DBD" w:rsidP="001E3DBD">
      <w:pPr>
        <w:pStyle w:val="BodyText"/>
      </w:pPr>
      <w:r w:rsidRPr="00750FC4">
        <w:t>L – Resource Management</w:t>
      </w:r>
    </w:p>
    <w:p w:rsidR="00000000" w:rsidRPr="00750FC4" w:rsidP="00750FC4">
      <w:pPr>
        <w:pStyle w:val="Heading1"/>
      </w:pPr>
      <w:bookmarkStart w:id="5" w:name="O_753009"/>
      <w:bookmarkEnd w:id="5"/>
      <w:r w:rsidRPr="00750FC4">
        <w:t>Unit Sector</w:t>
      </w:r>
    </w:p>
    <w:p w:rsidR="001E3DBD" w:rsidP="001E3DBD">
      <w:pPr>
        <w:pStyle w:val="BodyText"/>
      </w:pPr>
      <w:r w:rsidRPr="00750FC4">
        <w:t>Not applicable.</w:t>
      </w:r>
    </w:p>
    <w:p w:rsidR="00000000" w:rsidRPr="00750FC4" w:rsidP="00750FC4">
      <w:pPr>
        <w:pStyle w:val="Heading1"/>
      </w:pPr>
      <w:bookmarkStart w:id="6" w:name="O_753010"/>
      <w:bookmarkEnd w:id="6"/>
      <w:r w:rsidRPr="00750FC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Performance criteria describe the performance needed to demonstrate achievement of the element.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C4" w:rsidP="00750FC4">
            <w:pPr>
              <w:pStyle w:val="BodyText"/>
            </w:pPr>
            <w:r w:rsidRPr="00750FC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rPr>
                <w:rStyle w:val="SpecialBold"/>
              </w:rPr>
              <w:t xml:space="preserve">Confirm re/certification </w:t>
            </w:r>
            <w:r w:rsidRPr="00750FC4">
              <w:rPr>
                <w:rStyle w:val="SpecialBold"/>
              </w:rPr>
              <w:t>requirements for rail safety workers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Rail safety worker activities/tasks being undertaken within an organisation are identified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Task analysis is conducted in accordance with organisational policies and procedures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Safety task analysis is conducted to identify the skills and knowledge required to carry out rail safety work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Existing competency standards are identified and validated against rail safety work to be carried out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Where no competency standards currently exist, methods by which they can be developed or alternative methods for determining competency are identified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C4" w:rsidP="00750FC4">
            <w:pPr>
              <w:pStyle w:val="BodyText"/>
            </w:pPr>
            <w:r w:rsidRPr="00750FC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rPr>
                <w:rStyle w:val="SpecialBold"/>
              </w:rPr>
              <w:t>Implement, manage and monitor rail safety worker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 xml:space="preserve">Competency training and assessment plans </w:t>
            </w:r>
            <w:r w:rsidRPr="00750FC4">
              <w:t>are identified, developed and/or implemented for all activities being carried out by rail safety workers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Appropriate training and assessment providers are identified and delivery plans are developed to meet organisational and regulatory requirements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Rail safety worker register is developed and maintained in accordance with regulatory requirements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Training and assessment records are captured and maintained in accordance with regulatory and organisational requirements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Individual ra</w:t>
            </w:r>
            <w:r w:rsidRPr="00750FC4">
              <w:t>il safety worker identification system is developed and/or implemented in accordance with regulatory and organisational requirements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C4" w:rsidP="00750FC4">
            <w:pPr>
              <w:pStyle w:val="BodyText"/>
            </w:pPr>
            <w:r w:rsidRPr="00750FC4">
              <w:t>Rail safety worker information system is monitored and amended as required</w:t>
            </w:r>
          </w:p>
        </w:tc>
      </w:tr>
    </w:tbl>
    <w:p w:rsidR="001E3DBD" w:rsidP="00750FC4">
      <w:pPr>
        <w:pStyle w:val="BodyText"/>
      </w:pPr>
    </w:p>
    <w:p w:rsidR="001E3DBD" w:rsidP="00750FC4">
      <w:pPr>
        <w:pStyle w:val="BodyText"/>
      </w:pPr>
    </w:p>
    <w:p w:rsidR="00000000" w:rsidRPr="00750FC4" w:rsidP="00750FC4">
      <w:pPr>
        <w:pStyle w:val="Heading1"/>
      </w:pPr>
      <w:bookmarkStart w:id="7" w:name="O_753011"/>
      <w:bookmarkEnd w:id="7"/>
      <w:r w:rsidRPr="00750FC4">
        <w:t>Foundation Skills</w:t>
      </w:r>
    </w:p>
    <w:p w:rsidR="001E3DBD" w:rsidP="001E3DBD">
      <w:pPr>
        <w:pStyle w:val="BodyText"/>
      </w:pPr>
      <w:r w:rsidRPr="00750FC4">
        <w:t>Foundation skills essential to performance are explicit in the performance criteria of this unit of competency.</w:t>
      </w:r>
    </w:p>
    <w:p w:rsidR="00000000" w:rsidRPr="00750FC4" w:rsidP="00750FC4">
      <w:pPr>
        <w:pStyle w:val="Heading1"/>
      </w:pPr>
      <w:bookmarkStart w:id="8" w:name="O_753012"/>
      <w:bookmarkEnd w:id="8"/>
      <w:r w:rsidRPr="00750FC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C4" w:rsidP="00750FC4">
            <w:pPr>
              <w:pStyle w:val="BodyText"/>
            </w:pPr>
            <w:r w:rsidRPr="00750FC4">
              <w:t>Range is restricted to essential operating conditions and any other variables essential to the work enviro</w:t>
            </w:r>
            <w:r w:rsidRPr="00750FC4">
              <w:t>nment.</w:t>
            </w:r>
          </w:p>
          <w:p w:rsidR="00000000" w:rsidRPr="00750FC4" w:rsidP="00750FC4">
            <w:pPr>
              <w:pStyle w:val="BodyText"/>
            </w:pPr>
            <w:r w:rsidRPr="00750FC4">
              <w:t>Non-essential conditions can be found in the Companion Volume Implementation Guide.</w:t>
            </w:r>
          </w:p>
        </w:tc>
      </w:tr>
    </w:tbl>
    <w:p w:rsidR="001E3DBD" w:rsidP="00750FC4">
      <w:pPr>
        <w:pStyle w:val="BodyText"/>
      </w:pPr>
    </w:p>
    <w:p w:rsidR="001E3DBD" w:rsidP="00750FC4">
      <w:pPr>
        <w:pStyle w:val="BodyText"/>
      </w:pPr>
    </w:p>
    <w:p w:rsidR="00000000" w:rsidRPr="00750FC4" w:rsidP="00750FC4">
      <w:pPr>
        <w:pStyle w:val="Heading1"/>
      </w:pPr>
      <w:bookmarkStart w:id="9" w:name="O_753013"/>
      <w:bookmarkEnd w:id="9"/>
      <w:r w:rsidRPr="00750FC4">
        <w:t>Unit Mapping Information</w:t>
      </w:r>
    </w:p>
    <w:p w:rsidR="001E3DBD" w:rsidP="001E3DBD">
      <w:pPr>
        <w:pStyle w:val="BodyText"/>
      </w:pPr>
      <w:r w:rsidRPr="00750FC4">
        <w:t>This unit replaces and is equivalent to TLIL4081A Ensure competency of rail safety workers.</w:t>
      </w:r>
    </w:p>
    <w:p w:rsidR="00000000" w:rsidRPr="00750FC4" w:rsidP="00750FC4">
      <w:pPr>
        <w:pStyle w:val="Heading1"/>
      </w:pPr>
      <w:bookmarkStart w:id="10" w:name="O_753020"/>
      <w:bookmarkEnd w:id="10"/>
      <w:r w:rsidRPr="00750FC4">
        <w:t>Links</w:t>
      </w:r>
    </w:p>
    <w:p w:rsidR="00000000" w:rsidRPr="00750FC4" w:rsidP="001E3DBD">
      <w:pPr>
        <w:pStyle w:val="BodyText"/>
      </w:pPr>
      <w:r w:rsidRPr="00750F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54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50FC4" w:rsidP="001E3DBD">
      <w:pPr>
        <w:pStyle w:val="BodyText"/>
        <w:sectPr w:rsidSect="00750F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0FC4" w:rsidP="00750FC4">
      <w:pPr>
        <w:pStyle w:val="SuperHeading"/>
      </w:pPr>
      <w:r w:rsidRPr="00750FC4">
        <w:t xml:space="preserve">Assessment Requirements for TLIL4081 Ensure competency of rail </w:t>
      </w:r>
      <w:r w:rsidRPr="00750FC4">
        <w:t>safety workers</w:t>
      </w:r>
    </w:p>
    <w:p w:rsidR="00000000" w:rsidRPr="00750FC4" w:rsidP="00750FC4">
      <w:pPr>
        <w:pStyle w:val="Heading1"/>
      </w:pPr>
      <w:bookmarkStart w:id="11" w:name="O_753015"/>
      <w:bookmarkEnd w:id="11"/>
      <w:r w:rsidRPr="00750FC4">
        <w:t>Modification History</w:t>
      </w:r>
    </w:p>
    <w:p w:rsidR="001E3DBD" w:rsidP="001E3DBD">
      <w:pPr>
        <w:pStyle w:val="BodyText"/>
      </w:pPr>
      <w:r w:rsidRPr="00750FC4">
        <w:t>Release 1. This is the first release of this unit of competency in the TLI Transport and Logistics Training Package.</w:t>
      </w:r>
    </w:p>
    <w:p w:rsidR="00000000" w:rsidRPr="00750FC4" w:rsidP="00750FC4">
      <w:pPr>
        <w:pStyle w:val="Heading1"/>
      </w:pPr>
      <w:bookmarkStart w:id="12" w:name="O_753016"/>
      <w:bookmarkEnd w:id="12"/>
      <w:r w:rsidRPr="00750FC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Evidence required to demonstrate competence in t</w:t>
            </w:r>
            <w:r w:rsidRPr="00750FC4">
              <w:t>his unit must be relevant to and satisfy all of the requirements of the elements and performance criteria on at least one occasion and include: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C4" w:rsidP="00750FC4">
            <w:pPr>
              <w:pStyle w:val="ListBullet"/>
            </w:pPr>
            <w:r w:rsidRPr="00750FC4">
              <w:t xml:space="preserve">adapting to changes in relevant legislation and regulations </w:t>
            </w:r>
          </w:p>
          <w:p w:rsidR="00000000" w:rsidRPr="00750FC4" w:rsidP="00750FC4">
            <w:pPr>
              <w:pStyle w:val="ListBullet"/>
            </w:pPr>
            <w:r w:rsidRPr="00750FC4">
              <w:t>applying relevant legislation and workplace procedures</w:t>
            </w:r>
          </w:p>
          <w:p w:rsidR="00000000" w:rsidRPr="00750FC4" w:rsidP="00750FC4">
            <w:pPr>
              <w:pStyle w:val="ListBullet"/>
            </w:pPr>
            <w:r w:rsidRPr="00750FC4">
              <w:t xml:space="preserve">communicating effectively with others </w:t>
            </w:r>
          </w:p>
          <w:p w:rsidR="00000000" w:rsidRPr="00750FC4" w:rsidP="00750FC4">
            <w:pPr>
              <w:pStyle w:val="ListBullet"/>
            </w:pPr>
            <w:r w:rsidRPr="00750FC4">
              <w:t>developing a system to manage rail safety worker competency</w:t>
            </w:r>
          </w:p>
          <w:p w:rsidR="00000000" w:rsidRPr="00750FC4" w:rsidP="00750FC4">
            <w:pPr>
              <w:pStyle w:val="ListBullet"/>
            </w:pPr>
            <w:r w:rsidRPr="00750FC4">
              <w:t>facilitating systems that assist employees to identify their own rail safety worker competency learnin</w:t>
            </w:r>
            <w:r w:rsidRPr="00750FC4">
              <w:t xml:space="preserve">g and assessment needs </w:t>
            </w:r>
          </w:p>
          <w:p w:rsidR="00000000" w:rsidRPr="00750FC4" w:rsidP="00750FC4">
            <w:pPr>
              <w:pStyle w:val="ListBullet"/>
            </w:pPr>
            <w:r w:rsidRPr="00750FC4">
              <w:t>identifying rail safety workers within a rail organisation</w:t>
            </w:r>
          </w:p>
          <w:p w:rsidR="00000000" w:rsidRPr="00750FC4" w:rsidP="00750FC4">
            <w:pPr>
              <w:pStyle w:val="ListBullet"/>
            </w:pPr>
            <w:r w:rsidRPr="00750FC4">
              <w:t xml:space="preserve">monitoring activities and taking appropriate action to manage implementing organisation’s rail safety worker competency system </w:t>
            </w:r>
          </w:p>
          <w:p w:rsidR="00000000" w:rsidRPr="00750FC4" w:rsidP="00750FC4">
            <w:pPr>
              <w:pStyle w:val="ListBullet"/>
            </w:pPr>
            <w:r w:rsidRPr="00750FC4">
              <w:t>organising, monitoring and reviewing organisa</w:t>
            </w:r>
            <w:r w:rsidRPr="00750FC4">
              <w:t>tion’s rail safety worker competency system</w:t>
            </w:r>
          </w:p>
          <w:p w:rsidR="00000000" w:rsidRPr="00750FC4" w:rsidP="00750FC4">
            <w:pPr>
              <w:pStyle w:val="ListBullet"/>
            </w:pPr>
            <w:r w:rsidRPr="00750FC4">
              <w:t>reading and interpreting relevant documentation</w:t>
            </w:r>
          </w:p>
          <w:p w:rsidR="00000000" w:rsidRPr="00750FC4" w:rsidP="00750FC4">
            <w:pPr>
              <w:pStyle w:val="ListBullet"/>
            </w:pPr>
            <w:r w:rsidRPr="00750FC4">
              <w:t>recognising breaches to rail safety worker competency requirements and taking appropriate action, in accordance with organisation’s rail safety worker competency sy</w:t>
            </w:r>
            <w:r w:rsidRPr="00750FC4">
              <w:t>stem</w:t>
            </w:r>
          </w:p>
          <w:p w:rsidR="00000000" w:rsidRPr="00750FC4" w:rsidP="00750FC4">
            <w:pPr>
              <w:pStyle w:val="ListBullet"/>
            </w:pPr>
            <w:r w:rsidRPr="00750FC4">
              <w:t>reviewing a rail safety worker competency system</w:t>
            </w:r>
          </w:p>
          <w:p w:rsidR="00000000" w:rsidRPr="00750FC4" w:rsidP="00750FC4">
            <w:pPr>
              <w:pStyle w:val="ListBullet"/>
            </w:pPr>
            <w:r w:rsidRPr="00750FC4">
              <w:t>working collaboratively with employees and management.</w:t>
            </w:r>
          </w:p>
        </w:tc>
      </w:tr>
    </w:tbl>
    <w:p w:rsidR="00000000" w:rsidRPr="00750FC4" w:rsidP="00750FC4">
      <w:pPr>
        <w:pStyle w:val="BodyText"/>
      </w:pPr>
    </w:p>
    <w:p w:rsidR="00000000" w:rsidRPr="00750FC4" w:rsidP="00750FC4">
      <w:pPr>
        <w:pStyle w:val="AllowPageBreak"/>
      </w:pPr>
    </w:p>
    <w:p w:rsidR="00000000" w:rsidRPr="00750FC4" w:rsidP="00750FC4">
      <w:pPr>
        <w:pStyle w:val="Heading1"/>
      </w:pPr>
      <w:bookmarkStart w:id="13" w:name="O_753017"/>
      <w:bookmarkEnd w:id="13"/>
      <w:r w:rsidRPr="00750FC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C4">
            <w:pPr>
              <w:pStyle w:val="BodyText"/>
              <w:rPr>
                <w:lang w:val="en-NZ"/>
              </w:rPr>
            </w:pPr>
            <w:r w:rsidRPr="00750FC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C4" w:rsidP="00750FC4">
            <w:pPr>
              <w:pStyle w:val="ListBullet"/>
            </w:pPr>
            <w:r w:rsidRPr="00750FC4">
              <w:t>applicable training and assessment regulatory requirements</w:t>
            </w:r>
          </w:p>
          <w:p w:rsidR="00000000" w:rsidRPr="00750FC4" w:rsidP="00750FC4">
            <w:pPr>
              <w:pStyle w:val="ListBullet"/>
            </w:pPr>
            <w:r w:rsidRPr="00750FC4">
              <w:t>Australian Qual</w:t>
            </w:r>
            <w:r w:rsidRPr="00750FC4">
              <w:t>ifications Framework</w:t>
            </w:r>
          </w:p>
          <w:p w:rsidR="00000000" w:rsidRPr="00750FC4" w:rsidP="00750FC4">
            <w:pPr>
              <w:pStyle w:val="ListBullet"/>
            </w:pPr>
            <w:r w:rsidRPr="00750FC4">
              <w:t xml:space="preserve">components of a rail safety worker competency system </w:t>
            </w:r>
          </w:p>
          <w:p w:rsidR="00000000" w:rsidRPr="00750FC4" w:rsidP="00750FC4">
            <w:pPr>
              <w:pStyle w:val="ListBullet"/>
            </w:pPr>
            <w:r w:rsidRPr="00750FC4">
              <w:t xml:space="preserve">procedures and tools for monitoring and reviewing organisation’s rail safety worker competency system and related policy and procedures, and for reporting outcomes </w:t>
            </w:r>
          </w:p>
          <w:p w:rsidR="00000000" w:rsidRPr="00750FC4" w:rsidP="00750FC4">
            <w:pPr>
              <w:pStyle w:val="ListBullet"/>
            </w:pPr>
            <w:r w:rsidRPr="00750FC4">
              <w:t>processes and re</w:t>
            </w:r>
            <w:r w:rsidRPr="00750FC4">
              <w:t xml:space="preserve">sources for assessing employee competence </w:t>
            </w:r>
          </w:p>
          <w:p w:rsidR="00000000" w:rsidRPr="00750FC4" w:rsidP="00750FC4">
            <w:pPr>
              <w:pStyle w:val="ListBullet"/>
            </w:pPr>
            <w:r w:rsidRPr="00750FC4">
              <w:t>relevant legislation, regulations, permit and licence requirements related to rail safety worker competency</w:t>
            </w:r>
          </w:p>
          <w:p w:rsidR="00000000" w:rsidRPr="00750FC4" w:rsidP="00750FC4">
            <w:pPr>
              <w:pStyle w:val="ListBullet"/>
            </w:pPr>
            <w:r w:rsidRPr="00750FC4">
              <w:t xml:space="preserve">relevant sections of the </w:t>
            </w:r>
            <w:r w:rsidRPr="00750FC4">
              <w:rPr>
                <w:rStyle w:val="Emphasis"/>
              </w:rPr>
              <w:t>Standards for Registered Training Organisations</w:t>
            </w:r>
          </w:p>
          <w:p w:rsidR="00000000" w:rsidRPr="00750FC4" w:rsidP="00750FC4">
            <w:pPr>
              <w:pStyle w:val="ListBullet"/>
            </w:pPr>
            <w:r w:rsidRPr="00750FC4">
              <w:t>responsibilities of rail transpo</w:t>
            </w:r>
            <w:r w:rsidRPr="00750FC4">
              <w:t>rt operators and employees for implementing rail safety worker competency regulations and policies, including requirements of suppliers and sub</w:t>
            </w:r>
            <w:r w:rsidRPr="00750FC4">
              <w:noBreakHyphen/>
              <w:t>contractors in organisation’s services and products supply chain</w:t>
            </w:r>
          </w:p>
          <w:p w:rsidR="00000000" w:rsidRPr="00750FC4" w:rsidP="00750FC4">
            <w:pPr>
              <w:pStyle w:val="ListBullet"/>
            </w:pPr>
            <w:r w:rsidRPr="00750FC4">
              <w:t>sources of information on rail safety worker co</w:t>
            </w:r>
            <w:r w:rsidRPr="00750FC4">
              <w:t>mpetence</w:t>
            </w:r>
          </w:p>
          <w:p w:rsidR="00000000" w:rsidRPr="00750FC4" w:rsidP="00750FC4">
            <w:pPr>
              <w:pStyle w:val="ListBullet"/>
            </w:pPr>
            <w:r w:rsidRPr="00750FC4">
              <w:t>task analysis methodologies for rail safety worker competence.</w:t>
            </w:r>
          </w:p>
        </w:tc>
      </w:tr>
    </w:tbl>
    <w:p w:rsidR="00000000" w:rsidRPr="00750FC4" w:rsidP="00750FC4">
      <w:pPr>
        <w:pStyle w:val="BodyText"/>
      </w:pPr>
    </w:p>
    <w:p w:rsidR="00000000" w:rsidRPr="00750FC4" w:rsidP="00750FC4">
      <w:pPr>
        <w:pStyle w:val="AllowPageBreak"/>
      </w:pPr>
    </w:p>
    <w:p w:rsidR="00000000" w:rsidRPr="00750FC4" w:rsidP="00750FC4">
      <w:pPr>
        <w:pStyle w:val="Heading1"/>
      </w:pPr>
      <w:bookmarkStart w:id="14" w:name="O_753018"/>
      <w:bookmarkEnd w:id="14"/>
      <w:r w:rsidRPr="00750FC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E3D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C4" w:rsidP="00750FC4">
            <w:pPr>
              <w:pStyle w:val="BodyText"/>
            </w:pPr>
            <w:r w:rsidRPr="00750FC4">
              <w:t xml:space="preserve">As a minimum, assessors must satisfy applicable regulatory requirements, which include requirements in the </w:t>
            </w:r>
            <w:r w:rsidRPr="00750FC4">
              <w:rPr>
                <w:rStyle w:val="Emphasis"/>
              </w:rPr>
              <w:t>Standards for Registered Training Organisations</w:t>
            </w:r>
            <w:r w:rsidRPr="00750FC4">
              <w:t xml:space="preserve"> current at the time of assessment. </w:t>
            </w:r>
          </w:p>
          <w:p w:rsidR="00000000" w:rsidRPr="00750FC4" w:rsidP="00750FC4">
            <w:pPr>
              <w:pStyle w:val="BodyText"/>
            </w:pPr>
            <w:r w:rsidRPr="00750FC4">
              <w:t xml:space="preserve">As a minimum, assessment must satisfy applicable regulatory requirements, which include requirements in the </w:t>
            </w:r>
            <w:r w:rsidRPr="00750FC4">
              <w:rPr>
                <w:rStyle w:val="Emphasis"/>
              </w:rPr>
              <w:t>Standards for Registered Training Organisations</w:t>
            </w:r>
            <w:r w:rsidRPr="00750FC4">
              <w:t xml:space="preserve"> current at the t</w:t>
            </w:r>
            <w:r w:rsidRPr="00750FC4">
              <w:t>ime of assessment.</w:t>
            </w:r>
          </w:p>
          <w:p w:rsidR="00000000" w:rsidRPr="00750FC4" w:rsidP="00750FC4">
            <w:pPr>
              <w:pStyle w:val="BodyText"/>
            </w:pPr>
            <w:r w:rsidRPr="00750FC4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750FC4" w:rsidP="00750FC4">
            <w:pPr>
              <w:pStyle w:val="BodyText"/>
            </w:pPr>
            <w:r w:rsidRPr="00750FC4">
              <w:t xml:space="preserve">Assessment processes and techniques must be appropriate to the </w:t>
            </w:r>
            <w:r w:rsidRPr="00750FC4">
              <w:t>language, literacy and numeracy requirements of the work being performed and the needs of the candidate.</w:t>
            </w:r>
          </w:p>
          <w:p w:rsidR="00000000" w:rsidRPr="00750FC4" w:rsidP="00750FC4">
            <w:pPr>
              <w:pStyle w:val="BodyText"/>
            </w:pPr>
            <w:r w:rsidRPr="00750FC4">
              <w:t>Resources for assessment include:</w:t>
            </w:r>
          </w:p>
          <w:p w:rsidR="00000000" w:rsidRPr="00750FC4" w:rsidP="00750FC4">
            <w:pPr>
              <w:pStyle w:val="ListBullet"/>
            </w:pPr>
            <w:r w:rsidRPr="00750FC4">
              <w:t>a range of relevant exercises, case studies and/or simulations</w:t>
            </w:r>
          </w:p>
          <w:p w:rsidR="00000000" w:rsidRPr="00750FC4" w:rsidP="00750FC4">
            <w:pPr>
              <w:pStyle w:val="ListBullet"/>
            </w:pPr>
            <w:r w:rsidRPr="00750FC4">
              <w:t xml:space="preserve">relevant and appropriate materials, tools, equipment </w:t>
            </w:r>
            <w:r w:rsidRPr="00750FC4">
              <w:t xml:space="preserve">and personal protective equipment currently used in industry </w:t>
            </w:r>
          </w:p>
          <w:p w:rsidR="00000000" w:rsidRPr="00750FC4" w:rsidP="00750FC4">
            <w:pPr>
              <w:pStyle w:val="ListBullet"/>
            </w:pPr>
            <w:r w:rsidRPr="00750FC4">
              <w:t>applicable documentation including workplace procedures, regulations, codes of practice and operation manuals.</w:t>
            </w:r>
          </w:p>
        </w:tc>
      </w:tr>
    </w:tbl>
    <w:p w:rsidR="001E3DBD" w:rsidP="00750FC4">
      <w:pPr>
        <w:pStyle w:val="BodyText"/>
      </w:pPr>
    </w:p>
    <w:p w:rsidR="001E3DBD" w:rsidP="00750FC4">
      <w:pPr>
        <w:pStyle w:val="BodyText"/>
      </w:pPr>
    </w:p>
    <w:p w:rsidR="00000000" w:rsidRPr="00750FC4" w:rsidP="00750FC4">
      <w:pPr>
        <w:pStyle w:val="Heading1"/>
      </w:pPr>
      <w:bookmarkStart w:id="15" w:name="O_753021"/>
      <w:bookmarkEnd w:id="15"/>
      <w:r w:rsidRPr="00750FC4">
        <w:t>Links</w:t>
      </w:r>
    </w:p>
    <w:p w:rsidR="00000000" w:rsidRPr="00750FC4" w:rsidP="001E3DBD">
      <w:pPr>
        <w:pStyle w:val="BodyText"/>
      </w:pPr>
      <w:r w:rsidRPr="00750F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54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50FC4" w:rsidP="00750FC4"/>
    <w:sectPr w:rsidSect="00750F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C4" w:rsidRPr="001E3DBD" w:rsidP="001E3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BD" w:rsidP="00750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DBD" w:rsidP="00750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3DBD" w:rsidP="00750F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C4" w:rsidP="00750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3DBD">
      <w:t>Approved</w:t>
    </w:r>
    <w:r w:rsidR="001E3D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3D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3DBD">
      <w:rPr>
        <w:noProof/>
      </w:rPr>
      <w:t>4</w:t>
    </w:r>
    <w:r>
      <w:rPr>
        <w:noProof/>
      </w:rPr>
      <w:fldChar w:fldCharType="end"/>
    </w:r>
  </w:p>
  <w:p w:rsidR="00750FC4" w:rsidP="00750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3D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3DBD">
      <w:t>Industry Skills Australia</w:t>
    </w:r>
    <w:r w:rsidR="001E3DBD">
      <w:fldChar w:fldCharType="end"/>
    </w:r>
  </w:p>
  <w:p w:rsidR="00750FC4" w:rsidP="00750F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FC4" w:rsidRPr="001E3DBD" w:rsidP="001E3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BD" w:rsidRPr="002D2AF8" w:rsidP="00750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TLIL4081 Ensure competency of rail safety 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3DBD" w:rsidP="00750F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C4" w:rsidRPr="002D2AF8" w:rsidP="00750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3DBD">
      <w:t>TLIL4081 Ensure competency of rail safety workers</w:t>
    </w:r>
    <w:r w:rsidR="001E3D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3DBD">
      <w:rPr>
        <w:noProof/>
      </w:rPr>
      <w:t>2 March 2025</w:t>
    </w:r>
    <w:r>
      <w:fldChar w:fldCharType="end"/>
    </w:r>
  </w:p>
  <w:p w:rsidR="00750FC4" w:rsidP="00750F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BC7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AC8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F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F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F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F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F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F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F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F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F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F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F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FC4"/>
  </w:style>
  <w:style w:type="character" w:customStyle="1" w:styleId="Heading1Char">
    <w:name w:val="Heading 1 Char"/>
    <w:basedOn w:val="DefaultParagraphFont"/>
    <w:link w:val="Heading1"/>
    <w:rsid w:val="00750F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F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F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F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FC4"/>
    <w:rPr>
      <w:b/>
      <w:spacing w:val="0"/>
    </w:rPr>
  </w:style>
  <w:style w:type="character" w:styleId="Emphasis">
    <w:name w:val="Emphasis"/>
    <w:basedOn w:val="DefaultParagraphFont"/>
    <w:qFormat/>
    <w:rsid w:val="00750FC4"/>
    <w:rPr>
      <w:i/>
    </w:rPr>
  </w:style>
  <w:style w:type="paragraph" w:customStyle="1" w:styleId="SuperHeading">
    <w:name w:val="SuperHeading"/>
    <w:basedOn w:val="Normal"/>
    <w:rsid w:val="00750F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F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F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F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F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F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F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F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F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F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F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F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F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F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F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F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F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F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F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F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F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F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F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F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F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F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F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F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F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F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F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F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F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F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FC4"/>
  </w:style>
  <w:style w:type="paragraph" w:styleId="TableofFigures">
    <w:name w:val="table of figures"/>
    <w:basedOn w:val="Normal"/>
    <w:next w:val="Normal"/>
    <w:semiHidden/>
    <w:rsid w:val="00750F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F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0FC4"/>
    <w:rPr>
      <w:rFonts w:ascii="Wingdings" w:hAnsi="Wingdings"/>
    </w:rPr>
  </w:style>
  <w:style w:type="paragraph" w:customStyle="1" w:styleId="TableHeading">
    <w:name w:val="Table Heading"/>
    <w:basedOn w:val="HeadingBase"/>
    <w:rsid w:val="00750F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FC4"/>
    <w:rPr>
      <w:color w:val="0033CC"/>
      <w:u w:val="none"/>
    </w:rPr>
  </w:style>
  <w:style w:type="paragraph" w:customStyle="1" w:styleId="BodyTextRight">
    <w:name w:val="Body Text Right"/>
    <w:basedOn w:val="BodyText"/>
    <w:rsid w:val="00750F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F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F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F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F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F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FC4"/>
    <w:rPr>
      <w:sz w:val="32"/>
    </w:rPr>
  </w:style>
  <w:style w:type="paragraph" w:customStyle="1" w:styleId="HeadingProcedure">
    <w:name w:val="Heading Procedure"/>
    <w:basedOn w:val="HeadingBase"/>
    <w:next w:val="Normal"/>
    <w:rsid w:val="00750F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FC4"/>
    <w:pPr>
      <w:spacing w:before="60" w:after="60"/>
    </w:pPr>
  </w:style>
  <w:style w:type="paragraph" w:styleId="ListContinue">
    <w:name w:val="List Continue"/>
    <w:basedOn w:val="List"/>
    <w:rsid w:val="00750FC4"/>
    <w:pPr>
      <w:ind w:firstLine="0"/>
    </w:pPr>
  </w:style>
  <w:style w:type="paragraph" w:customStyle="1" w:styleId="ListNote">
    <w:name w:val="List Note"/>
    <w:basedOn w:val="List"/>
    <w:rsid w:val="00750F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F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F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FC4"/>
    <w:rPr>
      <w:rFonts w:ascii="Courier New" w:hAnsi="Courier New"/>
    </w:rPr>
  </w:style>
  <w:style w:type="paragraph" w:customStyle="1" w:styleId="NoteBullet">
    <w:name w:val="Note Bullet"/>
    <w:basedOn w:val="Note"/>
    <w:rsid w:val="00750F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F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F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F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F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0F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F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FC4"/>
    <w:rPr>
      <w:b/>
      <w:smallCaps/>
    </w:rPr>
  </w:style>
  <w:style w:type="paragraph" w:customStyle="1" w:styleId="TableListNumber">
    <w:name w:val="Table List Number"/>
    <w:basedOn w:val="ListNumber"/>
    <w:rsid w:val="00750F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F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FC4"/>
    <w:pPr>
      <w:numPr>
        <w:numId w:val="8"/>
      </w:numPr>
    </w:pPr>
  </w:style>
  <w:style w:type="paragraph" w:customStyle="1" w:styleId="ListAlpha2">
    <w:name w:val="List Alpha 2"/>
    <w:basedOn w:val="List2"/>
    <w:rsid w:val="00750FC4"/>
    <w:pPr>
      <w:numPr>
        <w:numId w:val="7"/>
      </w:numPr>
    </w:pPr>
  </w:style>
  <w:style w:type="paragraph" w:styleId="List2">
    <w:name w:val="List 2"/>
    <w:basedOn w:val="BodyText"/>
    <w:rsid w:val="00750F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F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F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F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F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F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0FC4"/>
    <w:pPr>
      <w:numPr>
        <w:numId w:val="3"/>
      </w:numPr>
    </w:pPr>
  </w:style>
  <w:style w:type="paragraph" w:styleId="ListContinue2">
    <w:name w:val="List Continue 2"/>
    <w:basedOn w:val="List2"/>
    <w:rsid w:val="00750FC4"/>
    <w:pPr>
      <w:ind w:firstLine="0"/>
    </w:pPr>
  </w:style>
  <w:style w:type="paragraph" w:styleId="ListContinue3">
    <w:name w:val="List Continue 3"/>
    <w:basedOn w:val="List3"/>
    <w:rsid w:val="00750FC4"/>
    <w:pPr>
      <w:ind w:left="1021" w:firstLine="0"/>
    </w:pPr>
  </w:style>
  <w:style w:type="paragraph" w:styleId="ListContinue4">
    <w:name w:val="List Continue 4"/>
    <w:basedOn w:val="List4"/>
    <w:rsid w:val="00750FC4"/>
    <w:pPr>
      <w:ind w:firstLine="0"/>
    </w:pPr>
  </w:style>
  <w:style w:type="paragraph" w:styleId="ListContinue5">
    <w:name w:val="List Continue 5"/>
    <w:basedOn w:val="List5"/>
    <w:rsid w:val="00750FC4"/>
    <w:pPr>
      <w:ind w:firstLine="0"/>
    </w:pPr>
  </w:style>
  <w:style w:type="paragraph" w:styleId="ListNumber3">
    <w:name w:val="List Number 3"/>
    <w:basedOn w:val="List3"/>
    <w:rsid w:val="00750FC4"/>
    <w:pPr>
      <w:numPr>
        <w:numId w:val="4"/>
      </w:numPr>
    </w:pPr>
  </w:style>
  <w:style w:type="paragraph" w:styleId="ListNumber4">
    <w:name w:val="List Number 4"/>
    <w:basedOn w:val="List4"/>
    <w:rsid w:val="00750FC4"/>
    <w:pPr>
      <w:numPr>
        <w:numId w:val="5"/>
      </w:numPr>
    </w:pPr>
  </w:style>
  <w:style w:type="paragraph" w:styleId="ListNumber5">
    <w:name w:val="List Number 5"/>
    <w:basedOn w:val="List5"/>
    <w:rsid w:val="00750FC4"/>
    <w:pPr>
      <w:numPr>
        <w:numId w:val="6"/>
      </w:numPr>
    </w:pPr>
  </w:style>
  <w:style w:type="paragraph" w:styleId="BlockText">
    <w:name w:val="Block Text"/>
    <w:basedOn w:val="Normal"/>
    <w:rsid w:val="00750F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F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FC4"/>
    <w:rPr>
      <w:sz w:val="16"/>
      <w:vertAlign w:val="superscript"/>
    </w:rPr>
  </w:style>
  <w:style w:type="character" w:customStyle="1" w:styleId="Symbols">
    <w:name w:val="Symbols"/>
    <w:basedOn w:val="DefaultParagraphFont"/>
    <w:rsid w:val="00750FC4"/>
    <w:rPr>
      <w:rFonts w:ascii="Symbol" w:hAnsi="Symbol"/>
    </w:rPr>
  </w:style>
  <w:style w:type="character" w:customStyle="1" w:styleId="MenuOptions">
    <w:name w:val="Menu Options"/>
    <w:basedOn w:val="DefaultParagraphFont"/>
    <w:rsid w:val="00750F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FC4"/>
    <w:rPr>
      <w:b/>
    </w:rPr>
  </w:style>
  <w:style w:type="character" w:customStyle="1" w:styleId="Underlined">
    <w:name w:val="Underlined"/>
    <w:basedOn w:val="DefaultParagraphFont"/>
    <w:rsid w:val="00750FC4"/>
    <w:rPr>
      <w:u w:val="single"/>
    </w:rPr>
  </w:style>
  <w:style w:type="paragraph" w:customStyle="1" w:styleId="TableBodyTextRight">
    <w:name w:val="Table Body Text Right"/>
    <w:basedOn w:val="TableBodyText"/>
    <w:rsid w:val="00750F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FC4"/>
    <w:rPr>
      <w:sz w:val="18"/>
    </w:rPr>
  </w:style>
  <w:style w:type="paragraph" w:customStyle="1" w:styleId="BodySmallRight">
    <w:name w:val="Body Small Right"/>
    <w:basedOn w:val="BodyTextRight"/>
    <w:rsid w:val="00750FC4"/>
    <w:rPr>
      <w:sz w:val="18"/>
      <w:szCs w:val="18"/>
    </w:rPr>
  </w:style>
  <w:style w:type="paragraph" w:customStyle="1" w:styleId="MarginEdition">
    <w:name w:val="Margin Edition"/>
    <w:basedOn w:val="MarginNote"/>
    <w:rsid w:val="00750F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FC4"/>
    <w:rPr>
      <w:sz w:val="2"/>
      <w:szCs w:val="2"/>
    </w:rPr>
  </w:style>
  <w:style w:type="character" w:customStyle="1" w:styleId="Small">
    <w:name w:val="Small"/>
    <w:basedOn w:val="DefaultParagraphFont"/>
    <w:rsid w:val="00750FC4"/>
    <w:rPr>
      <w:sz w:val="16"/>
    </w:rPr>
  </w:style>
  <w:style w:type="paragraph" w:customStyle="1" w:styleId="WideTable">
    <w:name w:val="Wide Table"/>
    <w:basedOn w:val="Normal"/>
    <w:rsid w:val="00750F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FC4"/>
  </w:style>
  <w:style w:type="paragraph" w:styleId="Quote">
    <w:name w:val="Quote"/>
    <w:basedOn w:val="Heading1"/>
    <w:link w:val="QuoteChar"/>
    <w:qFormat/>
    <w:rsid w:val="00750F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F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FC4"/>
    <w:pPr>
      <w:pageBreakBefore/>
    </w:pPr>
  </w:style>
  <w:style w:type="paragraph" w:customStyle="1" w:styleId="Border">
    <w:name w:val="Border"/>
    <w:basedOn w:val="Normal"/>
    <w:qFormat/>
    <w:rsid w:val="00750F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F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F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F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F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F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F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FC4"/>
    <w:rPr>
      <w:u w:val="single"/>
    </w:rPr>
  </w:style>
  <w:style w:type="character" w:customStyle="1" w:styleId="BoldandItalics">
    <w:name w:val="Bold and Italics"/>
    <w:qFormat/>
    <w:rsid w:val="00750FC4"/>
    <w:rPr>
      <w:b/>
      <w:i/>
      <w:u w:val="none"/>
    </w:rPr>
  </w:style>
  <w:style w:type="paragraph" w:styleId="BalloonText">
    <w:name w:val="Balloon Text"/>
    <w:basedOn w:val="Normal"/>
    <w:link w:val="BalloonTextChar"/>
    <w:rsid w:val="00750F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F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F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F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F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F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FC4"/>
    <w:pPr>
      <w:spacing w:before="0" w:after="0"/>
    </w:pPr>
  </w:style>
  <w:style w:type="paragraph" w:customStyle="1" w:styleId="BodyTextBold">
    <w:name w:val="Body Text Bold"/>
    <w:basedOn w:val="BodyText"/>
    <w:qFormat/>
    <w:rsid w:val="00750FC4"/>
    <w:rPr>
      <w:b/>
    </w:rPr>
  </w:style>
  <w:style w:type="character" w:styleId="Hyperlink">
    <w:name w:val="Hyperlink"/>
    <w:basedOn w:val="DefaultParagraphFont"/>
    <w:uiPriority w:val="99"/>
    <w:unhideWhenUsed/>
    <w:rsid w:val="001E3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6261</Characters>
  <Application>Microsoft Office Word</Application>
  <DocSecurity>0</DocSecurity>
  <Lines>184</Lines>
  <Paragraphs>112</Paragraphs>
  <ScaleCrop>false</ScaleCrop>
  <Company>Author-it Software Corporation Ltd.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TLIL4081 Ensure competency of rail safety workers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2025-03-01T13:17:00Z</dcterms:created>
  <dcterms:modified xsi:type="dcterms:W3CDTF">2025-03-01T13:17:00Z</dcterms:modified>
</cp:coreProperties>
</file>