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E2E6E" w:rsidP="003E2E6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TLIL4070 Work effectively in the transport and logistics industry</w:t>
      </w:r>
      <w:r>
        <w:fldChar w:fldCharType="end"/>
      </w:r>
    </w:p>
    <w:p w:rsidR="003E2E6E" w:rsidP="003E2E6E">
      <w:pPr>
        <w:pStyle w:val="Version"/>
        <w:sectPr w:rsidSect="00072CC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72CCB" w:rsidP="00072CCB">
      <w:pPr>
        <w:pStyle w:val="SuperHeading"/>
      </w:pPr>
      <w:r w:rsidRPr="00072CCB">
        <w:t>Assessment Requirements for TLIL4070 Work effectively in the transport and logistics industry</w:t>
      </w:r>
    </w:p>
    <w:p w:rsidR="00000000" w:rsidRPr="00072CCB" w:rsidP="00072CCB">
      <w:pPr>
        <w:pStyle w:val="Heading1"/>
      </w:pPr>
      <w:bookmarkStart w:id="1" w:name="O_1195438"/>
      <w:bookmarkEnd w:id="1"/>
      <w:r w:rsidRPr="00072CC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72C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CCB" w:rsidP="00072CCB">
            <w:pPr>
              <w:pStyle w:val="BodyText"/>
            </w:pPr>
            <w:r w:rsidRPr="00072CCB">
              <w:rPr>
                <w:rStyle w:val="SpecialBold"/>
              </w:rPr>
              <w:t xml:space="preserve">Release 2. </w:t>
            </w:r>
            <w:r w:rsidRPr="00072CCB">
              <w:t>This is the second release of this unit of competency in the TLI Transport and Logistics Training Package:</w:t>
            </w:r>
          </w:p>
          <w:p w:rsidR="00000000" w:rsidP="00072CCB">
            <w:pPr>
              <w:pStyle w:val="ListBullet"/>
              <w:rPr>
                <w:lang w:val="en-NZ"/>
              </w:rPr>
            </w:pPr>
            <w:r w:rsidRPr="00072CCB">
              <w:t>Updated Application and Assessment Conditions.</w:t>
            </w:r>
          </w:p>
        </w:tc>
      </w:tr>
      <w:tr w:rsidTr="00072C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CCB" w:rsidP="00072CCB">
            <w:pPr>
              <w:pStyle w:val="BodyText"/>
            </w:pPr>
            <w:r w:rsidRPr="00072CCB">
              <w:rPr>
                <w:rStyle w:val="SpecialBold"/>
              </w:rPr>
              <w:t>Release 1.</w:t>
            </w:r>
            <w:r w:rsidRPr="00072CCB">
              <w:t xml:space="preserve"> This is the first release of this unit of competency in the TLI Transport and Logistics Training Package.</w:t>
            </w:r>
          </w:p>
        </w:tc>
      </w:tr>
    </w:tbl>
    <w:p w:rsidR="003E2E6E" w:rsidP="00072CCB">
      <w:pPr>
        <w:pStyle w:val="NoPaddingFontSize1"/>
      </w:pPr>
    </w:p>
    <w:p w:rsidR="003E2E6E" w:rsidP="00072CCB">
      <w:pPr>
        <w:pStyle w:val="NoPaddingFontSize1"/>
      </w:pPr>
    </w:p>
    <w:p w:rsidR="00000000" w:rsidRPr="00072CCB" w:rsidP="00072CCB">
      <w:pPr>
        <w:pStyle w:val="Heading1"/>
      </w:pPr>
      <w:bookmarkStart w:id="2" w:name="O_1195437"/>
      <w:bookmarkEnd w:id="2"/>
      <w:r w:rsidRPr="00072CCB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72C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CCB" w:rsidP="00072CCB">
            <w:pPr>
              <w:pStyle w:val="BodyText"/>
            </w:pPr>
            <w:r w:rsidRPr="00072CCB">
              <w:t xml:space="preserve">Evidence required to demonstrate competence in </w:t>
            </w:r>
            <w:r w:rsidRPr="00072CCB">
              <w:t>this unit must be relevant to and satisfy all the requirements of the elements and performance criteria on at least one occasion and include:</w:t>
            </w:r>
          </w:p>
          <w:p w:rsidR="00000000" w:rsidRPr="00072CCB" w:rsidP="00072CCB">
            <w:pPr>
              <w:pStyle w:val="ListBullet"/>
            </w:pPr>
            <w:r w:rsidRPr="00072CCB">
              <w:t xml:space="preserve">completing relevant documentation </w:t>
            </w:r>
          </w:p>
          <w:p w:rsidR="00000000" w:rsidRPr="00072CCB" w:rsidP="00072CCB">
            <w:pPr>
              <w:pStyle w:val="ListBullet"/>
            </w:pPr>
            <w:r w:rsidRPr="00072CCB">
              <w:t>developing competence in response to changes in activities, and legislative an</w:t>
            </w:r>
            <w:r w:rsidRPr="00072CCB">
              <w:t xml:space="preserve">d organisational requirements </w:t>
            </w:r>
          </w:p>
          <w:p w:rsidR="00000000" w:rsidRPr="00072CCB" w:rsidP="00072CCB">
            <w:pPr>
              <w:pStyle w:val="ListBullet"/>
            </w:pPr>
            <w:r w:rsidRPr="00072CCB">
              <w:t>identifying and anticipating operational problems, hazards and risks, and taking appropriate action</w:t>
            </w:r>
          </w:p>
          <w:p w:rsidR="00000000" w:rsidRPr="00072CCB" w:rsidP="00072CCB">
            <w:pPr>
              <w:pStyle w:val="ListBullet"/>
            </w:pPr>
            <w:r w:rsidRPr="00072CCB">
              <w:t xml:space="preserve">identifying and correctly using relevant equipment </w:t>
            </w:r>
          </w:p>
          <w:p w:rsidR="00000000" w:rsidRPr="00072CCB" w:rsidP="00072CCB">
            <w:pPr>
              <w:pStyle w:val="ListBullet"/>
            </w:pPr>
            <w:r w:rsidRPr="00072CCB">
              <w:t>interpreting and applying relevant regulations and instructions</w:t>
            </w:r>
          </w:p>
          <w:p w:rsidR="00000000" w:rsidRPr="00072CCB" w:rsidP="00072CCB">
            <w:pPr>
              <w:pStyle w:val="ListBullet"/>
            </w:pPr>
            <w:r w:rsidRPr="00072CCB">
              <w:t>modifying activities dependent on workplace contingencies, situations and environments</w:t>
            </w:r>
          </w:p>
          <w:p w:rsidR="00000000" w:rsidRPr="00072CCB" w:rsidP="00072CCB">
            <w:pPr>
              <w:pStyle w:val="ListBullet"/>
            </w:pPr>
            <w:r w:rsidRPr="00072CCB">
              <w:t>monitoring work activities in terms of planned schedule</w:t>
            </w:r>
          </w:p>
          <w:p w:rsidR="00000000" w:rsidRPr="00072CCB" w:rsidP="00072CCB">
            <w:pPr>
              <w:pStyle w:val="ListBullet"/>
            </w:pPr>
            <w:r w:rsidRPr="00072CCB">
              <w:t xml:space="preserve">reading, interpreting and following relevant work requirements, policies and procedures. </w:t>
            </w:r>
          </w:p>
        </w:tc>
      </w:tr>
    </w:tbl>
    <w:p w:rsidR="003E2E6E" w:rsidP="00072CCB">
      <w:pPr>
        <w:pStyle w:val="NoPaddingFontSize1"/>
      </w:pPr>
    </w:p>
    <w:p w:rsidR="003E2E6E" w:rsidP="00072CCB">
      <w:pPr>
        <w:pStyle w:val="NoPaddingFontSize1"/>
      </w:pPr>
    </w:p>
    <w:p w:rsidR="00000000" w:rsidRPr="00072CCB" w:rsidP="00072CCB">
      <w:pPr>
        <w:pStyle w:val="Heading1"/>
      </w:pPr>
      <w:bookmarkStart w:id="3" w:name="O_1195436"/>
      <w:bookmarkEnd w:id="3"/>
      <w:r w:rsidRPr="00072CCB">
        <w:t>K</w:t>
      </w:r>
      <w:r w:rsidRPr="00072CCB">
        <w:t>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72C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CCB">
            <w:pPr>
              <w:pStyle w:val="BodyText"/>
              <w:rPr>
                <w:lang w:val="en-NZ"/>
              </w:rPr>
            </w:pPr>
            <w:r w:rsidRPr="00072CCB">
              <w:t>Evidence required to demonstrate competence in this unit must be relevant to and satisfy all the requirements of the elements and performance criteria and include knowledge of:</w:t>
            </w:r>
          </w:p>
        </w:tc>
      </w:tr>
      <w:tr w:rsidTr="00072C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CCB" w:rsidP="00072CCB">
            <w:pPr>
              <w:pStyle w:val="ListBullet"/>
            </w:pPr>
            <w:r w:rsidRPr="00072CCB">
              <w:t>current and emerging issues impacting on the transport and logistics industry, including infrastructure needs, technological changes and future challenges</w:t>
            </w:r>
          </w:p>
          <w:p w:rsidR="00000000" w:rsidRPr="00072CCB" w:rsidP="00072CCB">
            <w:pPr>
              <w:pStyle w:val="ListBullet"/>
            </w:pPr>
            <w:r w:rsidRPr="00072CCB">
              <w:t>local and national trends in the transport and logistics industry, including emerging industry practi</w:t>
            </w:r>
            <w:r w:rsidRPr="00072CCB">
              <w:t>ces and needs</w:t>
            </w:r>
          </w:p>
          <w:p w:rsidR="00000000" w:rsidRPr="00072CCB" w:rsidP="00072CCB">
            <w:pPr>
              <w:pStyle w:val="ListBullet"/>
            </w:pPr>
            <w:r w:rsidRPr="00072CCB">
              <w:t>organisational policies and procedures, including those relating to own area of responsibility and performance standards</w:t>
            </w:r>
          </w:p>
          <w:p w:rsidR="00000000" w:rsidRPr="00072CCB" w:rsidP="00072CCB">
            <w:pPr>
              <w:pStyle w:val="ListBullet"/>
            </w:pPr>
            <w:r w:rsidRPr="00072CCB">
              <w:t>relevant sections of national and state/territory legislation, regulatory requirements and codes of practice/or guideline</w:t>
            </w:r>
            <w:r w:rsidRPr="00072CCB">
              <w:t>s as they relate to the level and type of transport and logistics industry operations within own area of responsibility</w:t>
            </w:r>
          </w:p>
          <w:p w:rsidR="00000000" w:rsidRPr="00072CCB" w:rsidP="00072CCB">
            <w:pPr>
              <w:pStyle w:val="ListBullet"/>
            </w:pPr>
            <w:r w:rsidRPr="00072CCB">
              <w:t xml:space="preserve">relevant work health and safety (WHS)/occupational health and safety (OHS) and </w:t>
            </w:r>
            <w:r w:rsidRPr="00072CCB">
              <w:t>environmental procedures and guidelines.</w:t>
            </w:r>
          </w:p>
        </w:tc>
      </w:tr>
    </w:tbl>
    <w:p w:rsidR="003E2E6E" w:rsidP="00072CCB">
      <w:pPr>
        <w:pStyle w:val="NoPaddingFontSize1"/>
      </w:pPr>
    </w:p>
    <w:p w:rsidR="003E2E6E" w:rsidP="00072CCB">
      <w:pPr>
        <w:pStyle w:val="NoPaddingFontSize1"/>
      </w:pPr>
    </w:p>
    <w:p w:rsidR="00000000" w:rsidRPr="00072CCB" w:rsidP="00072CCB">
      <w:pPr>
        <w:pStyle w:val="Heading1"/>
      </w:pPr>
      <w:bookmarkStart w:id="4" w:name="O_1195435"/>
      <w:bookmarkEnd w:id="4"/>
      <w:r w:rsidRPr="00072CCB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72C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CCB" w:rsidP="00072CCB">
            <w:pPr>
              <w:pStyle w:val="BodyText"/>
            </w:pPr>
            <w:r w:rsidRPr="00072CCB">
              <w:t xml:space="preserve">Assessors must hold credentials specified within the Standards for Registered Training Organisations current at the time of assessment. </w:t>
            </w:r>
          </w:p>
          <w:p w:rsidR="00000000" w:rsidRPr="00072CCB" w:rsidP="00072CCB">
            <w:pPr>
              <w:pStyle w:val="BodyText"/>
            </w:pPr>
            <w:r w:rsidRPr="00072CCB">
              <w:t>Assessment must satisfy the Principl</w:t>
            </w:r>
            <w:r w:rsidRPr="00072CCB">
              <w:t>es of Assessment and Rules of Evidence and all regulatory requirements included within the Standards for Registered Training Organisations current at the time of assessment.</w:t>
            </w:r>
          </w:p>
          <w:p w:rsidR="00000000" w:rsidRPr="00072CCB" w:rsidP="00072CCB">
            <w:pPr>
              <w:pStyle w:val="BodyText"/>
            </w:pPr>
            <w:r w:rsidRPr="00072CCB">
              <w:t xml:space="preserve">Assessment must occur in workplace operational situations where it is appropriate </w:t>
            </w:r>
            <w:r w:rsidRPr="00072CCB">
              <w:t>to do so; where this is not appropriate, assessment must occur in simulated workplace operational situations that replicate workplace conditions.</w:t>
            </w:r>
          </w:p>
          <w:p w:rsidR="00000000" w:rsidRPr="00072CCB" w:rsidP="00072CCB">
            <w:pPr>
              <w:pStyle w:val="BodyText"/>
            </w:pPr>
            <w:r w:rsidRPr="00072CCB">
              <w:t>Assessment processes and techniques must be appropriate to the language, literacy and numeracy requirements of</w:t>
            </w:r>
            <w:r w:rsidRPr="00072CCB">
              <w:t xml:space="preserve"> the work being performed and the needs of the candidate.</w:t>
            </w:r>
          </w:p>
          <w:p w:rsidR="00000000" w:rsidRPr="00072CCB" w:rsidP="00072CCB">
            <w:pPr>
              <w:pStyle w:val="BodyText"/>
            </w:pPr>
            <w:r w:rsidRPr="00072CCB">
              <w:t>Resources for assessment must include access to:</w:t>
            </w:r>
          </w:p>
          <w:p w:rsidR="00000000" w:rsidRPr="00072CCB" w:rsidP="00072CCB">
            <w:pPr>
              <w:pStyle w:val="ListBullet"/>
            </w:pPr>
            <w:r w:rsidRPr="00072CCB">
              <w:t>a range of relevant exercises, case studies and/or simulations</w:t>
            </w:r>
          </w:p>
          <w:p w:rsidR="00000000" w:rsidRPr="00072CCB" w:rsidP="00072CCB">
            <w:pPr>
              <w:pStyle w:val="ListBullet"/>
            </w:pPr>
            <w:r w:rsidRPr="00072CCB">
              <w:t>relevant and appropriate materials, tools, equipment and personal protective equipmen</w:t>
            </w:r>
            <w:r w:rsidRPr="00072CCB">
              <w:t>t (PPE) currently used in industry</w:t>
            </w:r>
          </w:p>
          <w:p w:rsidR="00000000" w:rsidRPr="00072CCB" w:rsidP="00072CCB">
            <w:pPr>
              <w:pStyle w:val="ListBullet"/>
            </w:pPr>
            <w:r w:rsidRPr="00072CCB">
              <w:t>applicable documentation, including legislation, regulations, codes of practice, workplace procedures and operation manuals.</w:t>
            </w:r>
          </w:p>
        </w:tc>
      </w:tr>
    </w:tbl>
    <w:p w:rsidR="003E2E6E" w:rsidP="00072CCB">
      <w:pPr>
        <w:pStyle w:val="NoPaddingFontSize1"/>
      </w:pPr>
    </w:p>
    <w:p w:rsidR="003E2E6E" w:rsidP="00072CCB">
      <w:pPr>
        <w:pStyle w:val="NoPaddingFontSize1"/>
      </w:pPr>
    </w:p>
    <w:p w:rsidR="00000000" w:rsidRPr="00072CCB" w:rsidP="00072CCB">
      <w:pPr>
        <w:pStyle w:val="Heading1"/>
      </w:pPr>
      <w:bookmarkStart w:id="5" w:name="O_1195450"/>
      <w:bookmarkEnd w:id="5"/>
      <w:r w:rsidRPr="00072CCB">
        <w:t>Links</w:t>
      </w:r>
    </w:p>
    <w:p w:rsidR="00000000" w:rsidRPr="00072CCB" w:rsidP="003E2E6E">
      <w:pPr>
        <w:pStyle w:val="BodyText"/>
      </w:pPr>
      <w:r w:rsidRPr="00072CC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99325F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072CCB" w:rsidP="00072CCB"/>
    <w:sectPr w:rsidSect="00072CC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CC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CCB" w:rsidRPr="003E2E6E" w:rsidP="003E2E6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CC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2E6E" w:rsidP="00072CC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E2E6E" w:rsidP="00072CC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3E2E6E" w:rsidP="00072CC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CC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2E6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72CCB" w:rsidRPr="003E2E6E" w:rsidP="003E2E6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CC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2E6E" w:rsidRPr="002D2AF8" w:rsidP="00072CC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TLIL4070 Work effectively in the transport and logistics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3E2E6E" w:rsidP="00072CC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9DA94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E7E005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2CC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72CC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72CC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72CC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72CC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72CC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72CC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72CC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72CC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72CC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72CC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72CCB"/>
  </w:style>
  <w:style w:type="character" w:customStyle="1" w:styleId="Heading1Char">
    <w:name w:val="Heading 1 Char"/>
    <w:basedOn w:val="DefaultParagraphFont"/>
    <w:link w:val="Heading1"/>
    <w:rsid w:val="00072CC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72CC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72CC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72CC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72CCB"/>
    <w:rPr>
      <w:b/>
      <w:spacing w:val="0"/>
    </w:rPr>
  </w:style>
  <w:style w:type="paragraph" w:customStyle="1" w:styleId="SuperHeading">
    <w:name w:val="SuperHeading"/>
    <w:basedOn w:val="Normal"/>
    <w:rsid w:val="00072CC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72CC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72CC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72CC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72CC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72C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72C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72C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72C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72CC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72CC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72CC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72CC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72CC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72CC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72CC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72CC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72CC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72CC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72CC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72CC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72CC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72CC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72CC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72CC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72CC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72CC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72CC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72CC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72CC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72CC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72CC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72CC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72CC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72CC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72CCB"/>
    <w:rPr>
      <w:i/>
    </w:rPr>
  </w:style>
  <w:style w:type="paragraph" w:styleId="Caption">
    <w:name w:val="caption"/>
    <w:basedOn w:val="BodyText"/>
    <w:next w:val="Normal"/>
    <w:qFormat/>
    <w:rsid w:val="00072CC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72CC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72CC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72CCB"/>
  </w:style>
  <w:style w:type="paragraph" w:styleId="TableofFigures">
    <w:name w:val="table of figures"/>
    <w:basedOn w:val="Normal"/>
    <w:next w:val="Normal"/>
    <w:semiHidden/>
    <w:rsid w:val="00072CC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72CC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72CCB"/>
    <w:rPr>
      <w:rFonts w:ascii="Wingdings" w:hAnsi="Wingdings"/>
    </w:rPr>
  </w:style>
  <w:style w:type="paragraph" w:customStyle="1" w:styleId="TableHeading">
    <w:name w:val="Table Heading"/>
    <w:basedOn w:val="HeadingBase"/>
    <w:rsid w:val="00072CC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72CCB"/>
    <w:rPr>
      <w:color w:val="0033CC"/>
      <w:u w:val="none"/>
    </w:rPr>
  </w:style>
  <w:style w:type="paragraph" w:customStyle="1" w:styleId="BodyTextRight">
    <w:name w:val="Body Text Right"/>
    <w:basedOn w:val="BodyText"/>
    <w:rsid w:val="00072CC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72CC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72CC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72CC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72CC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72CC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72CCB"/>
    <w:rPr>
      <w:sz w:val="32"/>
    </w:rPr>
  </w:style>
  <w:style w:type="paragraph" w:customStyle="1" w:styleId="HeadingProcedure">
    <w:name w:val="Heading Procedure"/>
    <w:basedOn w:val="HeadingBase"/>
    <w:next w:val="Normal"/>
    <w:rsid w:val="00072CC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72CCB"/>
    <w:pPr>
      <w:spacing w:before="60" w:after="60"/>
    </w:pPr>
  </w:style>
  <w:style w:type="paragraph" w:styleId="ListContinue">
    <w:name w:val="List Continue"/>
    <w:basedOn w:val="List"/>
    <w:rsid w:val="00072CCB"/>
    <w:pPr>
      <w:ind w:firstLine="0"/>
    </w:pPr>
  </w:style>
  <w:style w:type="paragraph" w:customStyle="1" w:styleId="ListNote">
    <w:name w:val="List Note"/>
    <w:basedOn w:val="List"/>
    <w:rsid w:val="00072CC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72CC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72CC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72CCB"/>
    <w:rPr>
      <w:rFonts w:ascii="Courier New" w:hAnsi="Courier New"/>
    </w:rPr>
  </w:style>
  <w:style w:type="paragraph" w:customStyle="1" w:styleId="NoteBullet">
    <w:name w:val="Note Bullet"/>
    <w:basedOn w:val="Note"/>
    <w:rsid w:val="00072CC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72CC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72CC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72CC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72CC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72CC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72CC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72CCB"/>
    <w:rPr>
      <w:b/>
      <w:smallCaps/>
    </w:rPr>
  </w:style>
  <w:style w:type="paragraph" w:customStyle="1" w:styleId="TableListNumber">
    <w:name w:val="Table List Number"/>
    <w:basedOn w:val="ListNumber"/>
    <w:rsid w:val="00072CC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72CC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72CCB"/>
    <w:pPr>
      <w:numPr>
        <w:numId w:val="8"/>
      </w:numPr>
    </w:pPr>
  </w:style>
  <w:style w:type="paragraph" w:customStyle="1" w:styleId="ListAlpha2">
    <w:name w:val="List Alpha 2"/>
    <w:basedOn w:val="List2"/>
    <w:rsid w:val="00072CCB"/>
    <w:pPr>
      <w:numPr>
        <w:numId w:val="7"/>
      </w:numPr>
    </w:pPr>
  </w:style>
  <w:style w:type="paragraph" w:styleId="List2">
    <w:name w:val="List 2"/>
    <w:basedOn w:val="BodyText"/>
    <w:rsid w:val="00072CC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72CC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72CC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72CC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72CC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72CC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72CCB"/>
    <w:pPr>
      <w:numPr>
        <w:numId w:val="3"/>
      </w:numPr>
    </w:pPr>
  </w:style>
  <w:style w:type="paragraph" w:styleId="ListContinue2">
    <w:name w:val="List Continue 2"/>
    <w:basedOn w:val="List2"/>
    <w:rsid w:val="00072CCB"/>
    <w:pPr>
      <w:ind w:firstLine="0"/>
    </w:pPr>
  </w:style>
  <w:style w:type="paragraph" w:styleId="ListContinue3">
    <w:name w:val="List Continue 3"/>
    <w:basedOn w:val="List3"/>
    <w:rsid w:val="00072CCB"/>
    <w:pPr>
      <w:ind w:left="1021" w:firstLine="0"/>
    </w:pPr>
  </w:style>
  <w:style w:type="paragraph" w:styleId="ListContinue4">
    <w:name w:val="List Continue 4"/>
    <w:basedOn w:val="List4"/>
    <w:rsid w:val="00072CCB"/>
    <w:pPr>
      <w:ind w:firstLine="0"/>
    </w:pPr>
  </w:style>
  <w:style w:type="paragraph" w:styleId="ListContinue5">
    <w:name w:val="List Continue 5"/>
    <w:basedOn w:val="List5"/>
    <w:rsid w:val="00072CCB"/>
    <w:pPr>
      <w:ind w:firstLine="0"/>
    </w:pPr>
  </w:style>
  <w:style w:type="paragraph" w:styleId="ListNumber3">
    <w:name w:val="List Number 3"/>
    <w:basedOn w:val="List3"/>
    <w:rsid w:val="00072CCB"/>
    <w:pPr>
      <w:numPr>
        <w:numId w:val="4"/>
      </w:numPr>
    </w:pPr>
  </w:style>
  <w:style w:type="paragraph" w:styleId="ListNumber4">
    <w:name w:val="List Number 4"/>
    <w:basedOn w:val="List4"/>
    <w:rsid w:val="00072CCB"/>
    <w:pPr>
      <w:numPr>
        <w:numId w:val="5"/>
      </w:numPr>
    </w:pPr>
  </w:style>
  <w:style w:type="paragraph" w:styleId="ListNumber5">
    <w:name w:val="List Number 5"/>
    <w:basedOn w:val="List5"/>
    <w:rsid w:val="00072CCB"/>
    <w:pPr>
      <w:numPr>
        <w:numId w:val="6"/>
      </w:numPr>
    </w:pPr>
  </w:style>
  <w:style w:type="paragraph" w:styleId="BlockText">
    <w:name w:val="Block Text"/>
    <w:basedOn w:val="Normal"/>
    <w:rsid w:val="00072CC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72CC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72CCB"/>
    <w:rPr>
      <w:sz w:val="16"/>
      <w:vertAlign w:val="superscript"/>
    </w:rPr>
  </w:style>
  <w:style w:type="character" w:customStyle="1" w:styleId="Symbols">
    <w:name w:val="Symbols"/>
    <w:basedOn w:val="DefaultParagraphFont"/>
    <w:rsid w:val="00072CCB"/>
    <w:rPr>
      <w:rFonts w:ascii="Symbol" w:hAnsi="Symbol"/>
    </w:rPr>
  </w:style>
  <w:style w:type="character" w:customStyle="1" w:styleId="MenuOptions">
    <w:name w:val="Menu Options"/>
    <w:basedOn w:val="DefaultParagraphFont"/>
    <w:rsid w:val="00072CC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72CCB"/>
    <w:rPr>
      <w:b/>
    </w:rPr>
  </w:style>
  <w:style w:type="character" w:customStyle="1" w:styleId="Underlined">
    <w:name w:val="Underlined"/>
    <w:basedOn w:val="DefaultParagraphFont"/>
    <w:rsid w:val="00072CCB"/>
    <w:rPr>
      <w:u w:val="single"/>
    </w:rPr>
  </w:style>
  <w:style w:type="paragraph" w:customStyle="1" w:styleId="TableBodyTextRight">
    <w:name w:val="Table Body Text Right"/>
    <w:basedOn w:val="TableBodyText"/>
    <w:rsid w:val="00072CC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72CCB"/>
    <w:rPr>
      <w:sz w:val="18"/>
    </w:rPr>
  </w:style>
  <w:style w:type="paragraph" w:customStyle="1" w:styleId="BodySmallRight">
    <w:name w:val="Body Small Right"/>
    <w:basedOn w:val="BodyTextRight"/>
    <w:rsid w:val="00072CCB"/>
    <w:rPr>
      <w:sz w:val="18"/>
      <w:szCs w:val="18"/>
    </w:rPr>
  </w:style>
  <w:style w:type="paragraph" w:customStyle="1" w:styleId="MarginEdition">
    <w:name w:val="Margin Edition"/>
    <w:basedOn w:val="MarginNote"/>
    <w:rsid w:val="00072CC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72CCB"/>
    <w:rPr>
      <w:sz w:val="2"/>
      <w:szCs w:val="2"/>
    </w:rPr>
  </w:style>
  <w:style w:type="character" w:customStyle="1" w:styleId="Small">
    <w:name w:val="Small"/>
    <w:basedOn w:val="DefaultParagraphFont"/>
    <w:rsid w:val="00072CCB"/>
    <w:rPr>
      <w:sz w:val="16"/>
    </w:rPr>
  </w:style>
  <w:style w:type="paragraph" w:customStyle="1" w:styleId="WideTable">
    <w:name w:val="Wide Table"/>
    <w:basedOn w:val="Normal"/>
    <w:rsid w:val="00072CC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72CCB"/>
  </w:style>
  <w:style w:type="paragraph" w:styleId="Quote">
    <w:name w:val="Quote"/>
    <w:basedOn w:val="Heading1"/>
    <w:link w:val="QuoteChar"/>
    <w:qFormat/>
    <w:rsid w:val="00072CC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72CC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72CCB"/>
    <w:pPr>
      <w:pageBreakBefore/>
    </w:pPr>
  </w:style>
  <w:style w:type="paragraph" w:customStyle="1" w:styleId="Border">
    <w:name w:val="Border"/>
    <w:basedOn w:val="Normal"/>
    <w:qFormat/>
    <w:rsid w:val="00072CC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72CC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2CC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2CC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72CC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72CC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72CC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72CC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72CC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72CCB"/>
    <w:rPr>
      <w:u w:val="single"/>
    </w:rPr>
  </w:style>
  <w:style w:type="character" w:customStyle="1" w:styleId="BoldandItalics">
    <w:name w:val="Bold and Italics"/>
    <w:qFormat/>
    <w:rsid w:val="00072CCB"/>
    <w:rPr>
      <w:b/>
      <w:i/>
      <w:u w:val="none"/>
    </w:rPr>
  </w:style>
  <w:style w:type="paragraph" w:styleId="BalloonText">
    <w:name w:val="Balloon Text"/>
    <w:basedOn w:val="Normal"/>
    <w:link w:val="BalloonTextChar"/>
    <w:rsid w:val="00072C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72CC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72CC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72CC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72CC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72CC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72CCB"/>
    <w:pPr>
      <w:spacing w:before="0" w:after="0"/>
    </w:pPr>
  </w:style>
  <w:style w:type="paragraph" w:customStyle="1" w:styleId="BodyTextBold">
    <w:name w:val="Body Text Bold"/>
    <w:basedOn w:val="BodyText"/>
    <w:qFormat/>
    <w:rsid w:val="00072CCB"/>
    <w:rPr>
      <w:b/>
    </w:rPr>
  </w:style>
  <w:style w:type="character" w:styleId="Hyperlink">
    <w:name w:val="Hyperlink"/>
    <w:basedOn w:val="DefaultParagraphFont"/>
    <w:uiPriority w:val="99"/>
    <w:unhideWhenUsed/>
    <w:rsid w:val="003E2E6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482</Words>
  <Characters>3230</Characters>
  <Application>Microsoft Office Word</Application>
  <DocSecurity>0</DocSecurity>
  <Lines>71</Lines>
  <Paragraphs>42</Paragraphs>
  <ScaleCrop>false</ScaleCrop>
  <Company>Author-it Software Corporation Ltd.</Company>
  <LinksUpToDate>false</LinksUpToDate>
  <CharactersWithSpaces>3670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TLIL4070 Work effectively in the transport and logistics industry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2024-07-12T08:18:00Z</dcterms:created>
  <dcterms:modified xsi:type="dcterms:W3CDTF">2024-07-12T08:18:00Z</dcterms:modified>
</cp:coreProperties>
</file>