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760" w:rsidP="00030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TLIL4050 Allocate rolling stock</w:t>
      </w:r>
      <w:r>
        <w:fldChar w:fldCharType="end"/>
      </w:r>
    </w:p>
    <w:p w:rsidR="00030760" w:rsidP="00030760">
      <w:pPr>
        <w:pStyle w:val="Version"/>
        <w:sectPr w:rsidSect="00BC4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4135" w:rsidP="00BC4135">
      <w:pPr>
        <w:pStyle w:val="SuperHeading"/>
      </w:pPr>
      <w:r w:rsidRPr="00BC4135">
        <w:t>TLIL4050 Allocate rolling stock</w:t>
      </w:r>
    </w:p>
    <w:p w:rsidR="00000000" w:rsidRPr="00BC4135" w:rsidP="00BC4135">
      <w:pPr>
        <w:pStyle w:val="Heading1"/>
      </w:pPr>
      <w:bookmarkStart w:id="1" w:name="O_1091576"/>
      <w:bookmarkEnd w:id="1"/>
      <w:r w:rsidRPr="00BC41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Release 2</w:t>
            </w:r>
            <w:r w:rsidRPr="00BC4135">
              <w:t>. This is the second release of this unit of competency in the TLI Transport and Logistics Training Package:</w:t>
            </w:r>
          </w:p>
          <w:p w:rsidR="00000000" w:rsidP="00BC4135">
            <w:pPr>
              <w:pStyle w:val="ListBullet"/>
              <w:rPr>
                <w:lang w:val="en-NZ"/>
              </w:rPr>
            </w:pPr>
            <w:r w:rsidRPr="00BC4135">
              <w:t>Minor statement changes in Assessment Conditions.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Release 1</w:t>
            </w:r>
            <w:r w:rsidRPr="00BC4135">
              <w:t>. This is the first release of this unit of competency i</w:t>
            </w:r>
            <w:r w:rsidRPr="00BC4135">
              <w:t>n the TLI Transport and Logistics Training Package.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2" w:name="O_1091575"/>
      <w:bookmarkEnd w:id="2"/>
      <w:r w:rsidRPr="00BC41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This unit involves the skills and knowledge required to allocate rolling stock in accordance with workplace procedures and the requirements of relevant safeworking regulat</w:t>
            </w:r>
            <w:r w:rsidRPr="00BC4135">
              <w:t>ions and codes of practice.</w:t>
            </w:r>
          </w:p>
          <w:p w:rsidR="00000000" w:rsidRPr="00BC4135" w:rsidP="00BC4135">
            <w:pPr>
              <w:pStyle w:val="BodyText"/>
            </w:pPr>
            <w:r w:rsidRPr="00BC4135">
              <w:t>It includes identifying train consists and passenger and/or freight requirements, establishing available rolling stock, allocating rolling stock to trains, and monitoring and amending rolling stock allocation.</w:t>
            </w:r>
          </w:p>
          <w:p w:rsidR="00000000" w:rsidRPr="00BC4135" w:rsidP="00BC4135">
            <w:pPr>
              <w:pStyle w:val="BodyText"/>
            </w:pPr>
            <w:r w:rsidRPr="00BC4135">
              <w:t>People achieving c</w:t>
            </w:r>
            <w:r w:rsidRPr="00BC4135">
              <w:t>ompetence in this unit will need to fulfil the applicable state/territory legislated rail safety requirements and to comply with relevant codes of practice and/or guidelines.</w:t>
            </w:r>
          </w:p>
          <w:p w:rsidR="00000000" w:rsidRPr="00BC4135" w:rsidP="00BC4135">
            <w:pPr>
              <w:pStyle w:val="BodyText"/>
            </w:pPr>
            <w:r w:rsidRPr="00BC4135">
              <w:t>Work is performed individually and skills are required to work within a team envi</w:t>
            </w:r>
            <w:r w:rsidRPr="00BC4135">
              <w:t>ronment. It involves the application of regulatory requirements and operational principles and procedures when allocating rolling stock as part of work activities across a variety of operational workplace contexts within the Australian rail system.</w:t>
            </w:r>
          </w:p>
          <w:p w:rsidR="00000000" w:rsidRPr="00BC4135" w:rsidP="00BC4135">
            <w:pPr>
              <w:pStyle w:val="BodyText"/>
            </w:pPr>
            <w:r w:rsidRPr="00BC4135">
              <w:t>No lice</w:t>
            </w:r>
            <w:r w:rsidRPr="00BC4135">
              <w:t>nsing, legislative or certification requirements apply to this unit at the time of publication.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3" w:name="O_1091574"/>
      <w:bookmarkEnd w:id="3"/>
      <w:r w:rsidRPr="00BC41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Not applicable.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4" w:name="O_1091573"/>
      <w:bookmarkEnd w:id="4"/>
      <w:r w:rsidRPr="00BC41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L ‒ Resource Management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5" w:name="O_1091572"/>
      <w:bookmarkEnd w:id="5"/>
      <w:r w:rsidRPr="00BC41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Rail sector.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6" w:name="O_1091571"/>
      <w:bookmarkEnd w:id="6"/>
      <w:r w:rsidRPr="00BC41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41"/>
        <w:gridCol w:w="3317"/>
        <w:gridCol w:w="1333"/>
        <w:gridCol w:w="4206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Elements describe the essential outcomes.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Performance criteria describe the performance needed to demonstrate achievement of the element.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1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Identify train consists and passenger and/or freight requirements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1.1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Details of train consist and passenger numbers acquired from train planning are evaluated against available resources in accordance with workplace procedures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1.2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Train running times a</w:t>
            </w:r>
            <w:r w:rsidRPr="00BC4135">
              <w:t>nd train details are identified to confirm timings in accordance with workplace procedures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1.3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Initial estimate of required rolling stock by numbers and types for each rail service is made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2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rPr>
                <w:rStyle w:val="SpecialBold"/>
              </w:rPr>
              <w:t>Establish available rolling stock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2.1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Passenger numbers and class of travel to be catered for with a passenger train are identified to ensure suitable carriages are provided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2.2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Types of freight train rolling stock required for the established freight loads and track dimensions are identifi</w:t>
            </w:r>
            <w:r w:rsidRPr="00BC4135">
              <w:t>ed in accordance with workplace procedures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2.3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Passenger or freight train rolling stock locations are established using available tracking systems and procedures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2.4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Serviceability of the required rolling stock is confirmed using appropriate workplace procedures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2.5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t>Support rolling stock for passenger trains is located and assigned for each rail service</w:t>
            </w:r>
          </w:p>
        </w:tc>
      </w:tr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>
            <w:pPr>
              <w:pStyle w:val="BodyText"/>
              <w:keepLines w:val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135">
            <w:pPr>
              <w:pStyle w:val="BodyText"/>
              <w:rPr>
                <w:lang w:val="en-NZ"/>
              </w:rPr>
            </w:pPr>
            <w:r w:rsidRPr="00BC4135">
              <w:rPr>
                <w:rStyle w:val="SpecialBold"/>
              </w:rPr>
              <w:t>2.6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 xml:space="preserve">Rolling stock committed for rail service is recorded as </w:t>
            </w:r>
            <w:r w:rsidRPr="00BC4135">
              <w:t>being required for use prior to positioning for service/loading operations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7" w:name="O_1091570"/>
      <w:bookmarkEnd w:id="7"/>
      <w:r w:rsidRPr="00BC41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Foundation skills essential to performance are explicit in the performance criteria of this unit of competency.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8" w:name="O_1091569"/>
      <w:bookmarkEnd w:id="8"/>
      <w:r w:rsidRPr="00BC41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Range is restricted to essential operating conditions and any other variables essential to the work environment.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9" w:name="O_1091568"/>
      <w:bookmarkEnd w:id="9"/>
      <w:r w:rsidRPr="00BC41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135" w:rsidP="00BC4135">
            <w:pPr>
              <w:pStyle w:val="BodyText"/>
            </w:pPr>
            <w:r w:rsidRPr="00BC4135">
              <w:t>This unit replaces and is equivalent to TLIL4050A Allocate rolling stock.</w:t>
            </w:r>
          </w:p>
        </w:tc>
      </w:tr>
    </w:tbl>
    <w:p w:rsidR="00000000" w:rsidRPr="00BC4135" w:rsidP="00BC4135">
      <w:pPr>
        <w:pStyle w:val="NoPaddingFontSize1"/>
      </w:pPr>
    </w:p>
    <w:p w:rsidR="00000000" w:rsidRPr="00BC4135" w:rsidP="00BC4135">
      <w:pPr>
        <w:pStyle w:val="AllowPageBreak"/>
      </w:pPr>
    </w:p>
    <w:p w:rsidR="00000000" w:rsidRPr="00BC4135" w:rsidP="00BC4135">
      <w:pPr>
        <w:pStyle w:val="Heading1"/>
      </w:pPr>
      <w:bookmarkStart w:id="10" w:name="O_1091577"/>
      <w:bookmarkEnd w:id="10"/>
      <w:r w:rsidRPr="00BC4135">
        <w:t>Links</w:t>
      </w:r>
    </w:p>
    <w:p w:rsidR="00000000" w:rsidRPr="00BC4135" w:rsidP="00030760">
      <w:pPr>
        <w:pStyle w:val="BodyText"/>
      </w:pPr>
      <w:r w:rsidRPr="00BC41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06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4135" w:rsidP="00BC4135"/>
    <w:sectPr w:rsidSect="00BC41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35" w:rsidRPr="00030760" w:rsidP="00030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60" w:rsidP="00BC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760" w:rsidP="00BC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0760" w:rsidP="00BC4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135" w:rsidRPr="00030760" w:rsidP="00030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60" w:rsidRPr="002D2AF8" w:rsidP="00BC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TLIL4050 Allocate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30760" w:rsidP="00BC4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E45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89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135"/>
  </w:style>
  <w:style w:type="character" w:customStyle="1" w:styleId="Heading1Char">
    <w:name w:val="Heading 1 Char"/>
    <w:basedOn w:val="DefaultParagraphFont"/>
    <w:link w:val="Heading1"/>
    <w:rsid w:val="00BC4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1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135"/>
    <w:rPr>
      <w:b/>
      <w:spacing w:val="0"/>
    </w:rPr>
  </w:style>
  <w:style w:type="paragraph" w:customStyle="1" w:styleId="SuperHeading">
    <w:name w:val="SuperHeading"/>
    <w:basedOn w:val="Normal"/>
    <w:rsid w:val="00BC4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4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1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135"/>
    <w:rPr>
      <w:i/>
    </w:rPr>
  </w:style>
  <w:style w:type="paragraph" w:styleId="Caption">
    <w:name w:val="caption"/>
    <w:basedOn w:val="BodyText"/>
    <w:next w:val="Normal"/>
    <w:qFormat/>
    <w:rsid w:val="00BC4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135"/>
  </w:style>
  <w:style w:type="paragraph" w:styleId="TableofFigures">
    <w:name w:val="table of figures"/>
    <w:basedOn w:val="Normal"/>
    <w:next w:val="Normal"/>
    <w:semiHidden/>
    <w:rsid w:val="00BC4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1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135"/>
    <w:rPr>
      <w:rFonts w:ascii="Wingdings" w:hAnsi="Wingdings"/>
    </w:rPr>
  </w:style>
  <w:style w:type="paragraph" w:customStyle="1" w:styleId="TableHeading">
    <w:name w:val="Table Heading"/>
    <w:basedOn w:val="HeadingBase"/>
    <w:rsid w:val="00BC4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135"/>
    <w:rPr>
      <w:color w:val="0033CC"/>
      <w:u w:val="none"/>
    </w:rPr>
  </w:style>
  <w:style w:type="paragraph" w:customStyle="1" w:styleId="BodyTextRight">
    <w:name w:val="Body Text Right"/>
    <w:basedOn w:val="BodyText"/>
    <w:rsid w:val="00BC4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135"/>
    <w:rPr>
      <w:sz w:val="32"/>
    </w:rPr>
  </w:style>
  <w:style w:type="paragraph" w:customStyle="1" w:styleId="HeadingProcedure">
    <w:name w:val="Heading Procedure"/>
    <w:basedOn w:val="HeadingBase"/>
    <w:next w:val="Normal"/>
    <w:rsid w:val="00BC4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135"/>
    <w:pPr>
      <w:spacing w:before="60" w:after="60"/>
    </w:pPr>
  </w:style>
  <w:style w:type="paragraph" w:styleId="ListContinue">
    <w:name w:val="List Continue"/>
    <w:basedOn w:val="List"/>
    <w:rsid w:val="00BC4135"/>
    <w:pPr>
      <w:ind w:firstLine="0"/>
    </w:pPr>
  </w:style>
  <w:style w:type="paragraph" w:customStyle="1" w:styleId="ListNote">
    <w:name w:val="List Note"/>
    <w:basedOn w:val="List"/>
    <w:rsid w:val="00BC4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135"/>
    <w:rPr>
      <w:rFonts w:ascii="Courier New" w:hAnsi="Courier New"/>
    </w:rPr>
  </w:style>
  <w:style w:type="paragraph" w:customStyle="1" w:styleId="NoteBullet">
    <w:name w:val="Note Bullet"/>
    <w:basedOn w:val="Note"/>
    <w:rsid w:val="00BC4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1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135"/>
    <w:rPr>
      <w:b/>
      <w:smallCaps/>
    </w:rPr>
  </w:style>
  <w:style w:type="paragraph" w:customStyle="1" w:styleId="TableListNumber">
    <w:name w:val="Table List Number"/>
    <w:basedOn w:val="ListNumber"/>
    <w:rsid w:val="00BC4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135"/>
    <w:pPr>
      <w:numPr>
        <w:numId w:val="8"/>
      </w:numPr>
    </w:pPr>
  </w:style>
  <w:style w:type="paragraph" w:customStyle="1" w:styleId="ListAlpha2">
    <w:name w:val="List Alpha 2"/>
    <w:basedOn w:val="List2"/>
    <w:rsid w:val="00BC4135"/>
    <w:pPr>
      <w:numPr>
        <w:numId w:val="7"/>
      </w:numPr>
    </w:pPr>
  </w:style>
  <w:style w:type="paragraph" w:styleId="List2">
    <w:name w:val="List 2"/>
    <w:basedOn w:val="BodyText"/>
    <w:rsid w:val="00BC4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1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135"/>
    <w:pPr>
      <w:numPr>
        <w:numId w:val="3"/>
      </w:numPr>
    </w:pPr>
  </w:style>
  <w:style w:type="paragraph" w:styleId="ListContinue2">
    <w:name w:val="List Continue 2"/>
    <w:basedOn w:val="List2"/>
    <w:rsid w:val="00BC4135"/>
    <w:pPr>
      <w:ind w:firstLine="0"/>
    </w:pPr>
  </w:style>
  <w:style w:type="paragraph" w:styleId="ListContinue3">
    <w:name w:val="List Continue 3"/>
    <w:basedOn w:val="List3"/>
    <w:rsid w:val="00BC4135"/>
    <w:pPr>
      <w:ind w:left="1021" w:firstLine="0"/>
    </w:pPr>
  </w:style>
  <w:style w:type="paragraph" w:styleId="ListContinue4">
    <w:name w:val="List Continue 4"/>
    <w:basedOn w:val="List4"/>
    <w:rsid w:val="00BC4135"/>
    <w:pPr>
      <w:ind w:firstLine="0"/>
    </w:pPr>
  </w:style>
  <w:style w:type="paragraph" w:styleId="ListContinue5">
    <w:name w:val="List Continue 5"/>
    <w:basedOn w:val="List5"/>
    <w:rsid w:val="00BC4135"/>
    <w:pPr>
      <w:ind w:firstLine="0"/>
    </w:pPr>
  </w:style>
  <w:style w:type="paragraph" w:styleId="ListNumber3">
    <w:name w:val="List Number 3"/>
    <w:basedOn w:val="List3"/>
    <w:rsid w:val="00BC4135"/>
    <w:pPr>
      <w:numPr>
        <w:numId w:val="4"/>
      </w:numPr>
    </w:pPr>
  </w:style>
  <w:style w:type="paragraph" w:styleId="ListNumber4">
    <w:name w:val="List Number 4"/>
    <w:basedOn w:val="List4"/>
    <w:rsid w:val="00BC4135"/>
    <w:pPr>
      <w:numPr>
        <w:numId w:val="5"/>
      </w:numPr>
    </w:pPr>
  </w:style>
  <w:style w:type="paragraph" w:styleId="ListNumber5">
    <w:name w:val="List Number 5"/>
    <w:basedOn w:val="List5"/>
    <w:rsid w:val="00BC4135"/>
    <w:pPr>
      <w:numPr>
        <w:numId w:val="6"/>
      </w:numPr>
    </w:pPr>
  </w:style>
  <w:style w:type="paragraph" w:styleId="BlockText">
    <w:name w:val="Block Text"/>
    <w:basedOn w:val="Normal"/>
    <w:rsid w:val="00BC4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135"/>
    <w:rPr>
      <w:sz w:val="16"/>
      <w:vertAlign w:val="superscript"/>
    </w:rPr>
  </w:style>
  <w:style w:type="character" w:customStyle="1" w:styleId="Symbols">
    <w:name w:val="Symbols"/>
    <w:basedOn w:val="DefaultParagraphFont"/>
    <w:rsid w:val="00BC4135"/>
    <w:rPr>
      <w:rFonts w:ascii="Symbol" w:hAnsi="Symbol"/>
    </w:rPr>
  </w:style>
  <w:style w:type="character" w:customStyle="1" w:styleId="MenuOptions">
    <w:name w:val="Menu Options"/>
    <w:basedOn w:val="DefaultParagraphFont"/>
    <w:rsid w:val="00BC4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135"/>
    <w:rPr>
      <w:b/>
    </w:rPr>
  </w:style>
  <w:style w:type="character" w:customStyle="1" w:styleId="Underlined">
    <w:name w:val="Underlined"/>
    <w:basedOn w:val="DefaultParagraphFont"/>
    <w:rsid w:val="00BC4135"/>
    <w:rPr>
      <w:u w:val="single"/>
    </w:rPr>
  </w:style>
  <w:style w:type="paragraph" w:customStyle="1" w:styleId="TableBodyTextRight">
    <w:name w:val="Table Body Text Right"/>
    <w:basedOn w:val="TableBodyText"/>
    <w:rsid w:val="00BC4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135"/>
    <w:rPr>
      <w:sz w:val="18"/>
    </w:rPr>
  </w:style>
  <w:style w:type="paragraph" w:customStyle="1" w:styleId="BodySmallRight">
    <w:name w:val="Body Small Right"/>
    <w:basedOn w:val="BodyTextRight"/>
    <w:rsid w:val="00BC4135"/>
    <w:rPr>
      <w:sz w:val="18"/>
      <w:szCs w:val="18"/>
    </w:rPr>
  </w:style>
  <w:style w:type="paragraph" w:customStyle="1" w:styleId="MarginEdition">
    <w:name w:val="Margin Edition"/>
    <w:basedOn w:val="MarginNote"/>
    <w:rsid w:val="00BC4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135"/>
    <w:rPr>
      <w:sz w:val="2"/>
      <w:szCs w:val="2"/>
    </w:rPr>
  </w:style>
  <w:style w:type="character" w:customStyle="1" w:styleId="Small">
    <w:name w:val="Small"/>
    <w:basedOn w:val="DefaultParagraphFont"/>
    <w:rsid w:val="00BC4135"/>
    <w:rPr>
      <w:sz w:val="16"/>
    </w:rPr>
  </w:style>
  <w:style w:type="paragraph" w:customStyle="1" w:styleId="WideTable">
    <w:name w:val="Wide Table"/>
    <w:basedOn w:val="Normal"/>
    <w:rsid w:val="00BC4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135"/>
  </w:style>
  <w:style w:type="paragraph" w:styleId="Quote">
    <w:name w:val="Quote"/>
    <w:basedOn w:val="Heading1"/>
    <w:link w:val="QuoteChar"/>
    <w:qFormat/>
    <w:rsid w:val="00BC4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135"/>
    <w:pPr>
      <w:pageBreakBefore/>
    </w:pPr>
  </w:style>
  <w:style w:type="paragraph" w:customStyle="1" w:styleId="Border">
    <w:name w:val="Border"/>
    <w:basedOn w:val="Normal"/>
    <w:qFormat/>
    <w:rsid w:val="00BC4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135"/>
    <w:rPr>
      <w:u w:val="single"/>
    </w:rPr>
  </w:style>
  <w:style w:type="character" w:customStyle="1" w:styleId="BoldandItalics">
    <w:name w:val="Bold and Italics"/>
    <w:qFormat/>
    <w:rsid w:val="00BC4135"/>
    <w:rPr>
      <w:b/>
      <w:i/>
      <w:u w:val="none"/>
    </w:rPr>
  </w:style>
  <w:style w:type="paragraph" w:styleId="BalloonText">
    <w:name w:val="Balloon Text"/>
    <w:basedOn w:val="Normal"/>
    <w:link w:val="BalloonTextChar"/>
    <w:rsid w:val="00BC4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135"/>
    <w:pPr>
      <w:spacing w:before="0" w:after="0"/>
    </w:pPr>
  </w:style>
  <w:style w:type="paragraph" w:customStyle="1" w:styleId="BodyTextBold">
    <w:name w:val="Body Text Bold"/>
    <w:basedOn w:val="BodyText"/>
    <w:qFormat/>
    <w:rsid w:val="00BC4135"/>
    <w:rPr>
      <w:b/>
    </w:rPr>
  </w:style>
  <w:style w:type="character" w:styleId="Hyperlink">
    <w:name w:val="Hyperlink"/>
    <w:basedOn w:val="DefaultParagraphFont"/>
    <w:uiPriority w:val="99"/>
    <w:unhideWhenUsed/>
    <w:rsid w:val="00030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3155</Characters>
  <Application>Microsoft Office Word</Application>
  <DocSecurity>0</DocSecurity>
  <Lines>137</Lines>
  <Paragraphs>63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TLIL4050 Allocate rolling stock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2020-10-27T05:26:00Z</dcterms:created>
  <dcterms:modified xsi:type="dcterms:W3CDTF">2020-10-27T05:26:00Z</dcterms:modified>
</cp:coreProperties>
</file>