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58F" w:rsidP="00DC0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TLIL4032 Implement equal employment equity strategies</w:t>
      </w:r>
      <w:r>
        <w:fldChar w:fldCharType="end"/>
      </w:r>
    </w:p>
    <w:p w:rsidR="00DC058F" w:rsidP="00DC058F">
      <w:pPr>
        <w:pStyle w:val="Version"/>
        <w:sectPr w:rsidSect="003342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211" w:rsidP="00334211">
      <w:pPr>
        <w:pStyle w:val="SuperHeading"/>
      </w:pPr>
      <w:r w:rsidRPr="00334211">
        <w:t>TLIL4032 Implement equal employment equity strategies</w:t>
      </w:r>
    </w:p>
    <w:p w:rsidR="00000000" w:rsidRPr="00334211" w:rsidP="00334211">
      <w:pPr>
        <w:pStyle w:val="Heading1"/>
      </w:pPr>
      <w:bookmarkStart w:id="1" w:name="O_741017"/>
      <w:bookmarkEnd w:id="1"/>
      <w:r w:rsidRPr="00334211">
        <w:t>Modification History</w:t>
      </w:r>
    </w:p>
    <w:p w:rsidR="00DC058F" w:rsidP="00DC058F">
      <w:pPr>
        <w:pStyle w:val="BodyText"/>
      </w:pPr>
      <w:r w:rsidRPr="00334211">
        <w:t>Release 1. This is the first release of this unit of competency in the TLI Transport and Logistics Training Package.</w:t>
      </w:r>
    </w:p>
    <w:p w:rsidR="00000000" w:rsidRPr="00334211" w:rsidP="00334211">
      <w:pPr>
        <w:pStyle w:val="Heading1"/>
      </w:pPr>
      <w:bookmarkStart w:id="2" w:name="O_741018"/>
      <w:bookmarkEnd w:id="2"/>
      <w:r w:rsidRPr="00334211">
        <w:t>Application</w:t>
      </w:r>
    </w:p>
    <w:p w:rsidR="00000000" w:rsidRPr="00334211" w:rsidP="00DC058F">
      <w:pPr>
        <w:pStyle w:val="BodyText"/>
      </w:pPr>
      <w:r w:rsidRPr="00334211">
        <w:t xml:space="preserve">This unit involves the skills and knowledge required to implement equal </w:t>
      </w:r>
      <w:r w:rsidRPr="00334211">
        <w:t>employment opportunity (EEO) strategies in accordance with regulatory and workplace requirements, as part of work activities in the transport and logistics industry.</w:t>
      </w:r>
    </w:p>
    <w:p w:rsidR="00000000" w:rsidRPr="00334211" w:rsidP="00DC058F">
      <w:pPr>
        <w:pStyle w:val="BodyText"/>
      </w:pPr>
      <w:r w:rsidRPr="00334211">
        <w:t>It includes identifying and communicating agreed EEO direction, responding to EEO enquirie</w:t>
      </w:r>
      <w:r w:rsidRPr="00334211">
        <w:t xml:space="preserve">s, implementing EEO strategies, contributing to policy development, and evaluating and reporting on the implementation of EEO strategies in the workplace. </w:t>
      </w:r>
    </w:p>
    <w:p w:rsidR="00000000" w:rsidRPr="00334211" w:rsidP="00DC058F">
      <w:pPr>
        <w:pStyle w:val="BodyText"/>
      </w:pPr>
      <w:r w:rsidRPr="00334211">
        <w:t>While work is performed individually the ability to work within a team environment may be required.</w:t>
      </w:r>
    </w:p>
    <w:p w:rsidR="00DC058F" w:rsidP="00DC058F">
      <w:pPr>
        <w:pStyle w:val="BodyText"/>
      </w:pPr>
      <w:r w:rsidRPr="00334211">
        <w:t>No licensing, legislative or certification requirements apply to this unit at the time of publication.</w:t>
      </w:r>
    </w:p>
    <w:p w:rsidR="00000000" w:rsidRPr="00334211" w:rsidP="00334211">
      <w:pPr>
        <w:pStyle w:val="Heading1"/>
      </w:pPr>
      <w:bookmarkStart w:id="3" w:name="O_741019"/>
      <w:bookmarkEnd w:id="3"/>
      <w:r w:rsidRPr="00334211">
        <w:t>Pre-requisite Unit</w:t>
      </w:r>
    </w:p>
    <w:p w:rsidR="00000000" w:rsidRPr="00334211" w:rsidP="00DC058F">
      <w:pPr>
        <w:pStyle w:val="BodyText"/>
      </w:pPr>
      <w:r w:rsidRPr="00334211">
        <w:t>Not applicable.</w:t>
      </w:r>
    </w:p>
    <w:p w:rsidR="00000000" w:rsidRPr="00334211" w:rsidP="00334211">
      <w:pPr>
        <w:pStyle w:val="Heading1"/>
      </w:pPr>
      <w:bookmarkStart w:id="4" w:name="O_741020"/>
      <w:bookmarkEnd w:id="4"/>
      <w:r w:rsidRPr="00334211">
        <w:t>Competency Field</w:t>
      </w:r>
    </w:p>
    <w:p w:rsidR="00000000" w:rsidRPr="00334211" w:rsidP="00DC058F">
      <w:pPr>
        <w:pStyle w:val="BodyText"/>
      </w:pPr>
      <w:r w:rsidRPr="00334211">
        <w:t>L – Resource Management</w:t>
      </w:r>
    </w:p>
    <w:p w:rsidR="00000000" w:rsidRPr="00334211" w:rsidP="00334211">
      <w:pPr>
        <w:pStyle w:val="Heading1"/>
      </w:pPr>
      <w:bookmarkStart w:id="5" w:name="O_741021"/>
      <w:bookmarkEnd w:id="5"/>
      <w:r w:rsidRPr="00334211">
        <w:t>Unit Sector</w:t>
      </w:r>
    </w:p>
    <w:p w:rsidR="00000000" w:rsidRPr="00334211" w:rsidP="00DC058F">
      <w:pPr>
        <w:pStyle w:val="BodyText"/>
      </w:pPr>
      <w:r w:rsidRPr="00334211">
        <w:t>Not applicabl</w:t>
      </w:r>
      <w:r w:rsidRPr="00334211">
        <w:t>e.</w:t>
      </w:r>
    </w:p>
    <w:p w:rsidR="00000000" w:rsidRPr="00334211" w:rsidP="00334211">
      <w:pPr>
        <w:pStyle w:val="Heading1"/>
      </w:pPr>
      <w:bookmarkStart w:id="6" w:name="O_741022"/>
      <w:bookmarkEnd w:id="6"/>
      <w:r w:rsidRPr="0033421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7"/>
        <w:gridCol w:w="6658"/>
      </w:tblGrid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211" w:rsidP="00334211">
            <w:pPr>
              <w:pStyle w:val="BodyText"/>
            </w:pPr>
            <w:r w:rsidRPr="0033421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rPr>
                <w:rStyle w:val="SpecialBold"/>
              </w:rPr>
              <w:t>PERFORMANCE CRITERIA</w:t>
            </w:r>
          </w:p>
        </w:tc>
      </w:tr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Performance criteria describe the performance needed to demonstrate achievement of the element.</w:t>
            </w:r>
          </w:p>
        </w:tc>
      </w:tr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211" w:rsidP="00334211">
            <w:pPr>
              <w:pStyle w:val="BodyText"/>
            </w:pPr>
            <w:r w:rsidRPr="0033421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rPr>
                <w:rStyle w:val="SpecialBold"/>
              </w:rPr>
              <w:t xml:space="preserve">Identify and </w:t>
            </w:r>
            <w:r w:rsidRPr="00334211">
              <w:rPr>
                <w:rStyle w:val="SpecialBold"/>
              </w:rPr>
              <w:t>communicate agreed employment direction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EEO information and policy requirements are identified for the workplace</w:t>
            </w:r>
          </w:p>
        </w:tc>
      </w:tr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EEO information is disseminated to ensure relevant requirements are considered in decisions made within the workplace</w:t>
            </w:r>
          </w:p>
        </w:tc>
      </w:tr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Advice is provided to assist with consistent interpretation of EEO information</w:t>
            </w:r>
          </w:p>
        </w:tc>
      </w:tr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Negotiations are undertaken with management to ensure equity principles are incorporated throughout the workplace</w:t>
            </w:r>
          </w:p>
        </w:tc>
      </w:tr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Interpretation and advice are provided on l</w:t>
            </w:r>
            <w:r w:rsidRPr="00334211">
              <w:t>egislative requirements, workplace objectives and constraints, and human resource management practices</w:t>
            </w:r>
          </w:p>
        </w:tc>
      </w:tr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211" w:rsidP="00334211">
            <w:pPr>
              <w:pStyle w:val="BodyText"/>
            </w:pPr>
            <w:r w:rsidRPr="0033421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rPr>
                <w:rStyle w:val="SpecialBold"/>
              </w:rPr>
              <w:t xml:space="preserve">Respond to equal employment opportunity enquiries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Arrangements are made to ensure EEO advice can be provided to personnel within necessary timefr</w:t>
            </w:r>
            <w:r w:rsidRPr="00334211">
              <w:t>ames</w:t>
            </w:r>
          </w:p>
        </w:tc>
      </w:tr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Enquiries are analysed to identify necessary information required to respond sufficiently</w:t>
            </w:r>
          </w:p>
        </w:tc>
      </w:tr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Sources of information are identified and accessed to formulate response</w:t>
            </w:r>
          </w:p>
        </w:tc>
      </w:tr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Responses are communicated clearly and appropriately and understanding of the response is checked</w:t>
            </w:r>
          </w:p>
        </w:tc>
      </w:tr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211" w:rsidP="00334211">
            <w:pPr>
              <w:pStyle w:val="BodyText"/>
            </w:pPr>
            <w:r w:rsidRPr="0033421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rPr>
                <w:rStyle w:val="SpecialBold"/>
              </w:rPr>
              <w:t>Implement strategies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Strategies are developed to implement policies and objectives</w:t>
            </w:r>
          </w:p>
        </w:tc>
      </w:tr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Measures are identified that reflect the success of strategies developed and suitable data collected</w:t>
            </w:r>
          </w:p>
        </w:tc>
      </w:tr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211" w:rsidP="00334211">
            <w:pPr>
              <w:pStyle w:val="BodyText"/>
            </w:pPr>
            <w:r w:rsidRPr="0033421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rPr>
                <w:rStyle w:val="SpecialBold"/>
              </w:rPr>
              <w:t>Contribute to policy development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Consultation is regularly undertaken with stakeholders on policy development</w:t>
            </w:r>
          </w:p>
        </w:tc>
      </w:tr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Advice is provided concerning the implications of EEO policy</w:t>
            </w:r>
          </w:p>
        </w:tc>
      </w:tr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211" w:rsidP="00334211">
            <w:pPr>
              <w:pStyle w:val="BodyText"/>
            </w:pPr>
            <w:r w:rsidRPr="00334211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rPr>
                <w:rStyle w:val="SpecialBold"/>
              </w:rPr>
              <w:t>Evaluate and report on policy implementation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Data used to measure EEO policy performance is collected and statistically analysed</w:t>
            </w:r>
          </w:p>
        </w:tc>
      </w:tr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 xml:space="preserve">Annual and other reports are produced on EEO policy </w:t>
            </w:r>
            <w:r w:rsidRPr="00334211">
              <w:t>performance</w:t>
            </w:r>
          </w:p>
        </w:tc>
      </w:tr>
      <w:tr w:rsidTr="00DC0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11">
            <w:pPr>
              <w:pStyle w:val="BodyText"/>
              <w:rPr>
                <w:lang w:val="en-NZ"/>
              </w:rPr>
            </w:pPr>
            <w:r w:rsidRPr="00334211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211" w:rsidP="00334211">
            <w:pPr>
              <w:pStyle w:val="BodyText"/>
            </w:pPr>
            <w:r w:rsidRPr="00334211">
              <w:t>Results of EEO strategies and performance are conveyed in a timely and appropriate way to relevant individuals and groups</w:t>
            </w:r>
          </w:p>
        </w:tc>
      </w:tr>
    </w:tbl>
    <w:p w:rsidR="00DC058F" w:rsidP="00334211">
      <w:pPr>
        <w:pStyle w:val="BodyText"/>
      </w:pPr>
    </w:p>
    <w:p w:rsidR="00DC058F" w:rsidP="00334211">
      <w:pPr>
        <w:pStyle w:val="BodyText"/>
      </w:pPr>
    </w:p>
    <w:p w:rsidR="00000000" w:rsidRPr="00334211" w:rsidP="00334211">
      <w:pPr>
        <w:pStyle w:val="Heading1"/>
      </w:pPr>
      <w:bookmarkStart w:id="7" w:name="O_741023"/>
      <w:bookmarkEnd w:id="7"/>
      <w:r w:rsidRPr="00334211">
        <w:t>Foundation Skills</w:t>
      </w:r>
    </w:p>
    <w:p w:rsidR="00DC058F" w:rsidP="00DC058F">
      <w:pPr>
        <w:pStyle w:val="BodyText"/>
      </w:pPr>
      <w:r w:rsidRPr="00334211">
        <w:t>Foundation skills essential to performance are explicit in the performance criteria of this unit of competency.</w:t>
      </w:r>
    </w:p>
    <w:p w:rsidR="00000000" w:rsidRPr="00334211" w:rsidP="00334211">
      <w:pPr>
        <w:pStyle w:val="Heading1"/>
      </w:pPr>
      <w:bookmarkStart w:id="8" w:name="O_741024"/>
      <w:bookmarkEnd w:id="8"/>
      <w:r w:rsidRPr="00334211">
        <w:t>Range of Conditions</w:t>
      </w:r>
    </w:p>
    <w:p w:rsidR="00000000" w:rsidRPr="00334211" w:rsidP="00DC058F">
      <w:pPr>
        <w:pStyle w:val="BodyText"/>
      </w:pPr>
      <w:r w:rsidRPr="00334211">
        <w:t>Range is restricted to essential operating conditions and any other variables essential to the work enviro</w:t>
      </w:r>
      <w:r w:rsidRPr="00334211">
        <w:t>nment.</w:t>
      </w:r>
    </w:p>
    <w:p w:rsidR="00DC058F" w:rsidP="00DC058F">
      <w:pPr>
        <w:pStyle w:val="BodyText"/>
      </w:pPr>
      <w:r w:rsidRPr="00334211">
        <w:t>Non-essential conditions can be found in the Companion Volume Implementation Guide.</w:t>
      </w:r>
    </w:p>
    <w:p w:rsidR="00000000" w:rsidRPr="00334211" w:rsidP="00334211">
      <w:pPr>
        <w:pStyle w:val="Heading1"/>
      </w:pPr>
      <w:bookmarkStart w:id="9" w:name="O_741025"/>
      <w:bookmarkEnd w:id="9"/>
      <w:r w:rsidRPr="00334211">
        <w:t>Unit Mapping Information</w:t>
      </w:r>
    </w:p>
    <w:p w:rsidR="00000000" w:rsidRPr="00334211" w:rsidP="00DC058F">
      <w:pPr>
        <w:pStyle w:val="BodyText"/>
      </w:pPr>
      <w:r w:rsidRPr="00334211">
        <w:t>This unit replaces and is equivalent to TLIL4032A Implement equal employment equity strategies.</w:t>
      </w:r>
    </w:p>
    <w:p w:rsidR="00000000" w:rsidRPr="00334211" w:rsidP="00334211">
      <w:pPr>
        <w:pStyle w:val="Heading1"/>
      </w:pPr>
      <w:bookmarkStart w:id="10" w:name="O_741032"/>
      <w:bookmarkEnd w:id="10"/>
      <w:r w:rsidRPr="00334211">
        <w:t>Links</w:t>
      </w:r>
    </w:p>
    <w:p w:rsidR="00000000" w:rsidRPr="00334211" w:rsidP="00DC058F">
      <w:pPr>
        <w:pStyle w:val="BodyText"/>
      </w:pPr>
      <w:r w:rsidRPr="003342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B23B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34211" w:rsidP="00334211"/>
    <w:sectPr w:rsidSect="003342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11" w:rsidRPr="00DC058F" w:rsidP="00DC0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58F" w:rsidP="003342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058F" w:rsidP="003342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C058F" w:rsidP="003342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211" w:rsidRPr="00DC058F" w:rsidP="00DC0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58F" w:rsidRPr="002D2AF8" w:rsidP="003342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TLIL4032 Implement equal employment equity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DC058F" w:rsidP="003342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2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2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2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2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2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2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2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2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2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2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2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211"/>
  </w:style>
  <w:style w:type="character" w:customStyle="1" w:styleId="Heading1Char">
    <w:name w:val="Heading 1 Char"/>
    <w:basedOn w:val="DefaultParagraphFont"/>
    <w:link w:val="Heading1"/>
    <w:rsid w:val="003342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2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2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4211"/>
    <w:rPr>
      <w:b/>
      <w:spacing w:val="0"/>
    </w:rPr>
  </w:style>
  <w:style w:type="paragraph" w:customStyle="1" w:styleId="SuperHeading">
    <w:name w:val="SuperHeading"/>
    <w:basedOn w:val="Normal"/>
    <w:rsid w:val="003342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2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42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2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2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2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2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2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2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2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2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2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2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2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2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2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2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42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42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2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2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2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42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42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2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2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2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2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2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2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2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2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4211"/>
    <w:rPr>
      <w:i/>
    </w:rPr>
  </w:style>
  <w:style w:type="paragraph" w:styleId="Caption">
    <w:name w:val="caption"/>
    <w:basedOn w:val="BodyText"/>
    <w:next w:val="Normal"/>
    <w:qFormat/>
    <w:rsid w:val="003342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2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2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211"/>
  </w:style>
  <w:style w:type="paragraph" w:styleId="TableofFigures">
    <w:name w:val="table of figures"/>
    <w:basedOn w:val="Normal"/>
    <w:next w:val="Normal"/>
    <w:semiHidden/>
    <w:rsid w:val="003342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2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4211"/>
    <w:rPr>
      <w:rFonts w:ascii="Wingdings" w:hAnsi="Wingdings"/>
    </w:rPr>
  </w:style>
  <w:style w:type="paragraph" w:customStyle="1" w:styleId="TableHeading">
    <w:name w:val="Table Heading"/>
    <w:basedOn w:val="HeadingBase"/>
    <w:rsid w:val="003342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211"/>
    <w:rPr>
      <w:color w:val="0033CC"/>
      <w:u w:val="none"/>
    </w:rPr>
  </w:style>
  <w:style w:type="paragraph" w:customStyle="1" w:styleId="BodyTextRight">
    <w:name w:val="Body Text Right"/>
    <w:basedOn w:val="BodyText"/>
    <w:rsid w:val="003342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2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2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2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2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2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211"/>
    <w:rPr>
      <w:sz w:val="32"/>
    </w:rPr>
  </w:style>
  <w:style w:type="paragraph" w:customStyle="1" w:styleId="HeadingProcedure">
    <w:name w:val="Heading Procedure"/>
    <w:basedOn w:val="HeadingBase"/>
    <w:next w:val="Normal"/>
    <w:rsid w:val="003342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211"/>
    <w:pPr>
      <w:spacing w:before="60" w:after="60"/>
    </w:pPr>
  </w:style>
  <w:style w:type="paragraph" w:styleId="ListContinue">
    <w:name w:val="List Continue"/>
    <w:basedOn w:val="List"/>
    <w:rsid w:val="00334211"/>
    <w:pPr>
      <w:ind w:firstLine="0"/>
    </w:pPr>
  </w:style>
  <w:style w:type="paragraph" w:customStyle="1" w:styleId="ListNote">
    <w:name w:val="List Note"/>
    <w:basedOn w:val="List"/>
    <w:rsid w:val="003342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2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2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211"/>
    <w:rPr>
      <w:rFonts w:ascii="Courier New" w:hAnsi="Courier New"/>
    </w:rPr>
  </w:style>
  <w:style w:type="paragraph" w:customStyle="1" w:styleId="NoteBullet">
    <w:name w:val="Note Bullet"/>
    <w:basedOn w:val="Note"/>
    <w:rsid w:val="003342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2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2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2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2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42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2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211"/>
    <w:rPr>
      <w:b/>
      <w:smallCaps/>
    </w:rPr>
  </w:style>
  <w:style w:type="paragraph" w:customStyle="1" w:styleId="TableListNumber">
    <w:name w:val="Table List Number"/>
    <w:basedOn w:val="ListNumber"/>
    <w:rsid w:val="003342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2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211"/>
    <w:pPr>
      <w:numPr>
        <w:numId w:val="7"/>
      </w:numPr>
    </w:pPr>
  </w:style>
  <w:style w:type="paragraph" w:customStyle="1" w:styleId="ListAlpha2">
    <w:name w:val="List Alpha 2"/>
    <w:basedOn w:val="List2"/>
    <w:rsid w:val="00334211"/>
    <w:pPr>
      <w:numPr>
        <w:numId w:val="6"/>
      </w:numPr>
    </w:pPr>
  </w:style>
  <w:style w:type="paragraph" w:styleId="List2">
    <w:name w:val="List 2"/>
    <w:basedOn w:val="BodyText"/>
    <w:rsid w:val="003342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2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2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2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2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2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4211"/>
    <w:pPr>
      <w:numPr>
        <w:numId w:val="2"/>
      </w:numPr>
    </w:pPr>
  </w:style>
  <w:style w:type="paragraph" w:styleId="ListContinue2">
    <w:name w:val="List Continue 2"/>
    <w:basedOn w:val="List2"/>
    <w:rsid w:val="00334211"/>
    <w:pPr>
      <w:ind w:firstLine="0"/>
    </w:pPr>
  </w:style>
  <w:style w:type="paragraph" w:styleId="ListContinue3">
    <w:name w:val="List Continue 3"/>
    <w:basedOn w:val="List3"/>
    <w:rsid w:val="00334211"/>
    <w:pPr>
      <w:ind w:left="1021" w:firstLine="0"/>
    </w:pPr>
  </w:style>
  <w:style w:type="paragraph" w:styleId="ListContinue4">
    <w:name w:val="List Continue 4"/>
    <w:basedOn w:val="List4"/>
    <w:rsid w:val="00334211"/>
    <w:pPr>
      <w:ind w:firstLine="0"/>
    </w:pPr>
  </w:style>
  <w:style w:type="paragraph" w:styleId="ListContinue5">
    <w:name w:val="List Continue 5"/>
    <w:basedOn w:val="List5"/>
    <w:rsid w:val="00334211"/>
    <w:pPr>
      <w:ind w:firstLine="0"/>
    </w:pPr>
  </w:style>
  <w:style w:type="paragraph" w:styleId="ListNumber3">
    <w:name w:val="List Number 3"/>
    <w:basedOn w:val="List3"/>
    <w:rsid w:val="00334211"/>
    <w:pPr>
      <w:numPr>
        <w:numId w:val="3"/>
      </w:numPr>
    </w:pPr>
  </w:style>
  <w:style w:type="paragraph" w:styleId="ListNumber4">
    <w:name w:val="List Number 4"/>
    <w:basedOn w:val="List4"/>
    <w:rsid w:val="00334211"/>
    <w:pPr>
      <w:numPr>
        <w:numId w:val="4"/>
      </w:numPr>
    </w:pPr>
  </w:style>
  <w:style w:type="paragraph" w:styleId="ListNumber5">
    <w:name w:val="List Number 5"/>
    <w:basedOn w:val="List5"/>
    <w:rsid w:val="00334211"/>
    <w:pPr>
      <w:numPr>
        <w:numId w:val="5"/>
      </w:numPr>
    </w:pPr>
  </w:style>
  <w:style w:type="paragraph" w:styleId="BlockText">
    <w:name w:val="Block Text"/>
    <w:basedOn w:val="Normal"/>
    <w:rsid w:val="003342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2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211"/>
    <w:rPr>
      <w:sz w:val="16"/>
      <w:vertAlign w:val="superscript"/>
    </w:rPr>
  </w:style>
  <w:style w:type="character" w:customStyle="1" w:styleId="Symbols">
    <w:name w:val="Symbols"/>
    <w:basedOn w:val="DefaultParagraphFont"/>
    <w:rsid w:val="00334211"/>
    <w:rPr>
      <w:rFonts w:ascii="Symbol" w:hAnsi="Symbol"/>
    </w:rPr>
  </w:style>
  <w:style w:type="character" w:customStyle="1" w:styleId="MenuOptions">
    <w:name w:val="Menu Options"/>
    <w:basedOn w:val="DefaultParagraphFont"/>
    <w:rsid w:val="003342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211"/>
    <w:rPr>
      <w:b/>
    </w:rPr>
  </w:style>
  <w:style w:type="character" w:customStyle="1" w:styleId="Underlined">
    <w:name w:val="Underlined"/>
    <w:basedOn w:val="DefaultParagraphFont"/>
    <w:rsid w:val="00334211"/>
    <w:rPr>
      <w:u w:val="single"/>
    </w:rPr>
  </w:style>
  <w:style w:type="paragraph" w:customStyle="1" w:styleId="TableBodyTextRight">
    <w:name w:val="Table Body Text Right"/>
    <w:basedOn w:val="TableBodyText"/>
    <w:rsid w:val="003342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211"/>
    <w:rPr>
      <w:sz w:val="18"/>
    </w:rPr>
  </w:style>
  <w:style w:type="paragraph" w:customStyle="1" w:styleId="BodySmallRight">
    <w:name w:val="Body Small Right"/>
    <w:basedOn w:val="BodyTextRight"/>
    <w:rsid w:val="00334211"/>
    <w:rPr>
      <w:sz w:val="18"/>
      <w:szCs w:val="18"/>
    </w:rPr>
  </w:style>
  <w:style w:type="paragraph" w:customStyle="1" w:styleId="MarginEdition">
    <w:name w:val="Margin Edition"/>
    <w:basedOn w:val="MarginNote"/>
    <w:rsid w:val="003342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211"/>
    <w:rPr>
      <w:sz w:val="2"/>
      <w:szCs w:val="2"/>
    </w:rPr>
  </w:style>
  <w:style w:type="character" w:customStyle="1" w:styleId="Small">
    <w:name w:val="Small"/>
    <w:basedOn w:val="DefaultParagraphFont"/>
    <w:rsid w:val="00334211"/>
    <w:rPr>
      <w:sz w:val="16"/>
    </w:rPr>
  </w:style>
  <w:style w:type="paragraph" w:customStyle="1" w:styleId="WideTable">
    <w:name w:val="Wide Table"/>
    <w:basedOn w:val="Normal"/>
    <w:rsid w:val="003342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211"/>
  </w:style>
  <w:style w:type="paragraph" w:styleId="Quote">
    <w:name w:val="Quote"/>
    <w:basedOn w:val="Heading1"/>
    <w:link w:val="QuoteChar"/>
    <w:qFormat/>
    <w:rsid w:val="003342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2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211"/>
    <w:pPr>
      <w:pageBreakBefore/>
    </w:pPr>
  </w:style>
  <w:style w:type="paragraph" w:customStyle="1" w:styleId="Border">
    <w:name w:val="Border"/>
    <w:basedOn w:val="Normal"/>
    <w:qFormat/>
    <w:rsid w:val="003342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2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2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2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2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2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2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2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2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211"/>
    <w:rPr>
      <w:u w:val="single"/>
    </w:rPr>
  </w:style>
  <w:style w:type="character" w:customStyle="1" w:styleId="BoldandItalics">
    <w:name w:val="Bold and Italics"/>
    <w:qFormat/>
    <w:rsid w:val="00334211"/>
    <w:rPr>
      <w:b/>
      <w:i/>
      <w:u w:val="none"/>
    </w:rPr>
  </w:style>
  <w:style w:type="paragraph" w:styleId="BalloonText">
    <w:name w:val="Balloon Text"/>
    <w:basedOn w:val="Normal"/>
    <w:link w:val="BalloonTextChar"/>
    <w:rsid w:val="00334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2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2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2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2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2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211"/>
    <w:pPr>
      <w:spacing w:before="0" w:after="0"/>
    </w:pPr>
  </w:style>
  <w:style w:type="paragraph" w:customStyle="1" w:styleId="BodyTextBold">
    <w:name w:val="Body Text Bold"/>
    <w:basedOn w:val="BodyText"/>
    <w:qFormat/>
    <w:rsid w:val="00334211"/>
    <w:rPr>
      <w:b/>
    </w:rPr>
  </w:style>
  <w:style w:type="character" w:styleId="Hyperlink">
    <w:name w:val="Hyperlink"/>
    <w:basedOn w:val="DefaultParagraphFont"/>
    <w:uiPriority w:val="99"/>
    <w:unhideWhenUsed/>
    <w:rsid w:val="00DC0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3317</Characters>
  <Application>Microsoft Office Word</Application>
  <DocSecurity>0</DocSecurity>
  <Lines>144</Lines>
  <Paragraphs>87</Paragraphs>
  <ScaleCrop>false</ScaleCrop>
  <Company>Author-it Software Corporation Ltd.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TLIL4032 Implement equal employment equity strategies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2022-04-27T01:55:00Z</dcterms:created>
  <dcterms:modified xsi:type="dcterms:W3CDTF">2022-04-27T01:55:00Z</dcterms:modified>
</cp:coreProperties>
</file>