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31B68" w:rsidP="00431B6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TLIL4030 Control a furniture warehouse</w:t>
      </w:r>
      <w:r>
        <w:fldChar w:fldCharType="end"/>
      </w:r>
    </w:p>
    <w:p w:rsidR="00431B68" w:rsidP="00431B68">
      <w:pPr>
        <w:pStyle w:val="Version"/>
        <w:sectPr w:rsidSect="0006192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6192D" w:rsidP="0006192D">
      <w:pPr>
        <w:pStyle w:val="SuperHeading"/>
      </w:pPr>
      <w:r w:rsidRPr="0006192D">
        <w:t>TLIL4030 Control a furniture warehouse</w:t>
      </w:r>
    </w:p>
    <w:p w:rsidR="00000000" w:rsidRPr="0006192D" w:rsidP="0006192D">
      <w:pPr>
        <w:pStyle w:val="Heading1"/>
      </w:pPr>
      <w:bookmarkStart w:id="1" w:name="O_798813"/>
      <w:bookmarkEnd w:id="1"/>
      <w:r w:rsidRPr="0006192D">
        <w:t>Modification History</w:t>
      </w:r>
    </w:p>
    <w:p w:rsidR="00431B68" w:rsidP="00431B68">
      <w:pPr>
        <w:pStyle w:val="BodyText"/>
      </w:pPr>
      <w:r w:rsidRPr="0006192D">
        <w:t>Release 1. This is the first release of this unit of competency in the TLI Transport and Logistics Training Package.</w:t>
      </w:r>
    </w:p>
    <w:p w:rsidR="00000000" w:rsidRPr="0006192D" w:rsidP="0006192D">
      <w:pPr>
        <w:pStyle w:val="Heading1"/>
      </w:pPr>
      <w:bookmarkStart w:id="2" w:name="O_798814"/>
      <w:bookmarkEnd w:id="2"/>
      <w:r w:rsidRPr="0006192D">
        <w:t>Application</w:t>
      </w:r>
    </w:p>
    <w:p w:rsidR="00000000" w:rsidRPr="0006192D" w:rsidP="00431B68">
      <w:pPr>
        <w:pStyle w:val="BodyText"/>
      </w:pPr>
      <w:r w:rsidRPr="0006192D">
        <w:t>This unit involves the skills and knowledge required to control a furniture warehouse in</w:t>
      </w:r>
      <w:r w:rsidRPr="0006192D">
        <w:t xml:space="preserve"> accordance with relevant regulations and workplace requirements. </w:t>
      </w:r>
    </w:p>
    <w:p w:rsidR="00000000" w:rsidRPr="0006192D" w:rsidP="00431B68">
      <w:pPr>
        <w:pStyle w:val="BodyText"/>
      </w:pPr>
      <w:r w:rsidRPr="0006192D">
        <w:t>It includes determining site functions and operations, receiving and despatching furniture, maintaining inventory and warehouse security, monitoring storage operations, and completing requi</w:t>
      </w:r>
      <w:r w:rsidRPr="0006192D">
        <w:t>red records and documentation.</w:t>
      </w:r>
    </w:p>
    <w:p w:rsidR="00000000" w:rsidRPr="0006192D" w:rsidP="00431B68">
      <w:pPr>
        <w:pStyle w:val="BodyText"/>
      </w:pPr>
      <w:r w:rsidRPr="0006192D">
        <w:t>Work is performed under limited supervision. It involves the application of discretion and judgement and knowledge of relevant regulatory requirements and workplace procedures to control a furniture warehouse.</w:t>
      </w:r>
    </w:p>
    <w:p w:rsidR="00431B68" w:rsidP="00431B68">
      <w:pPr>
        <w:pStyle w:val="BodyText"/>
      </w:pPr>
      <w:r w:rsidRPr="0006192D">
        <w:t>No licensing, l</w:t>
      </w:r>
      <w:r w:rsidRPr="0006192D">
        <w:t>egislative or certification requirements apply to this unit at the time of publication.</w:t>
      </w:r>
    </w:p>
    <w:p w:rsidR="00000000" w:rsidRPr="0006192D" w:rsidP="0006192D">
      <w:pPr>
        <w:pStyle w:val="Heading1"/>
      </w:pPr>
      <w:bookmarkStart w:id="3" w:name="O_798815"/>
      <w:bookmarkEnd w:id="3"/>
      <w:r w:rsidRPr="0006192D">
        <w:t>Pre-requisite Unit</w:t>
      </w:r>
    </w:p>
    <w:p w:rsidR="00000000" w:rsidRPr="0006192D" w:rsidP="00431B68">
      <w:pPr>
        <w:pStyle w:val="BodyText"/>
      </w:pPr>
      <w:r w:rsidRPr="0006192D">
        <w:t>Not applicable.</w:t>
      </w:r>
    </w:p>
    <w:p w:rsidR="00000000" w:rsidRPr="0006192D" w:rsidP="0006192D">
      <w:pPr>
        <w:pStyle w:val="Heading1"/>
      </w:pPr>
      <w:bookmarkStart w:id="4" w:name="O_798816"/>
      <w:bookmarkEnd w:id="4"/>
      <w:r w:rsidRPr="0006192D">
        <w:t>Competency Field</w:t>
      </w:r>
    </w:p>
    <w:p w:rsidR="00431B68" w:rsidP="00431B68">
      <w:pPr>
        <w:pStyle w:val="BodyText"/>
      </w:pPr>
      <w:r w:rsidRPr="0006192D">
        <w:t>L – Resource Management</w:t>
      </w:r>
    </w:p>
    <w:p w:rsidR="00000000" w:rsidRPr="0006192D" w:rsidP="0006192D">
      <w:pPr>
        <w:pStyle w:val="Heading1"/>
      </w:pPr>
      <w:bookmarkStart w:id="5" w:name="O_798817"/>
      <w:bookmarkEnd w:id="5"/>
      <w:r w:rsidRPr="0006192D">
        <w:t>Unit Sector</w:t>
      </w:r>
    </w:p>
    <w:p w:rsidR="00000000" w:rsidRPr="0006192D" w:rsidP="00431B68">
      <w:pPr>
        <w:pStyle w:val="BodyText"/>
      </w:pPr>
      <w:r w:rsidRPr="0006192D">
        <w:t>Not applicable.</w:t>
      </w:r>
    </w:p>
    <w:p w:rsidR="00000000" w:rsidRPr="0006192D" w:rsidP="0006192D">
      <w:pPr>
        <w:pStyle w:val="Heading1"/>
      </w:pPr>
      <w:bookmarkStart w:id="6" w:name="O_798818"/>
      <w:bookmarkEnd w:id="6"/>
      <w:r w:rsidRPr="0006192D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2"/>
        <w:gridCol w:w="1769"/>
        <w:gridCol w:w="1"/>
        <w:gridCol w:w="552"/>
        <w:gridCol w:w="6542"/>
      </w:tblGrid>
      <w:tr w:rsidTr="00431B6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192D" w:rsidP="0006192D">
            <w:pPr>
              <w:pStyle w:val="BodyText"/>
            </w:pPr>
            <w:r w:rsidRPr="0006192D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92D">
            <w:pPr>
              <w:pStyle w:val="BodyText"/>
              <w:rPr>
                <w:lang w:val="en-NZ"/>
              </w:rPr>
            </w:pPr>
            <w:r w:rsidRPr="0006192D">
              <w:rPr>
                <w:rStyle w:val="SpecialBold"/>
              </w:rPr>
              <w:t>PERFORMANCE CRITERIA</w:t>
            </w:r>
          </w:p>
        </w:tc>
      </w:tr>
      <w:tr w:rsidTr="00431B6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92D">
            <w:pPr>
              <w:pStyle w:val="BodyText"/>
              <w:rPr>
                <w:lang w:val="en-NZ"/>
              </w:rPr>
            </w:pPr>
            <w:r w:rsidRPr="0006192D">
              <w:t>Elements describe the essential outcomes.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92D">
            <w:pPr>
              <w:pStyle w:val="BodyText"/>
              <w:rPr>
                <w:lang w:val="en-NZ"/>
              </w:rPr>
            </w:pPr>
            <w:r w:rsidRPr="0006192D">
              <w:t>Performance criteria describe the performance needed to demonstrate achievement of the element.</w:t>
            </w:r>
          </w:p>
        </w:tc>
      </w:tr>
      <w:tr w:rsidTr="00431B6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192D" w:rsidP="0006192D">
            <w:pPr>
              <w:pStyle w:val="BodyText"/>
            </w:pPr>
            <w:r w:rsidRPr="0006192D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92D">
            <w:pPr>
              <w:pStyle w:val="BodyText"/>
              <w:rPr>
                <w:lang w:val="en-NZ"/>
              </w:rPr>
            </w:pPr>
            <w:r w:rsidRPr="0006192D">
              <w:rPr>
                <w:rStyle w:val="SpecialBold"/>
              </w:rPr>
              <w:t>Determine site functions and operations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92D">
            <w:pPr>
              <w:pStyle w:val="BodyText"/>
              <w:rPr>
                <w:lang w:val="en-NZ"/>
              </w:rPr>
            </w:pPr>
            <w:r w:rsidRPr="0006192D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92D">
            <w:pPr>
              <w:pStyle w:val="BodyText"/>
              <w:rPr>
                <w:lang w:val="en-NZ"/>
              </w:rPr>
            </w:pPr>
            <w:r w:rsidRPr="0006192D">
              <w:t>Layout of furniture storage facilities, work flow and activities undertaken in each zone are identified</w:t>
            </w:r>
          </w:p>
        </w:tc>
      </w:tr>
      <w:tr w:rsidTr="00431B6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92D">
            <w:pPr>
              <w:pStyle w:val="BodyText"/>
              <w:rPr>
                <w:lang w:val="en-NZ"/>
              </w:rPr>
            </w:pPr>
            <w:r w:rsidRPr="0006192D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92D">
            <w:pPr>
              <w:pStyle w:val="BodyText"/>
              <w:rPr>
                <w:lang w:val="en-NZ"/>
              </w:rPr>
            </w:pPr>
            <w:r w:rsidRPr="0006192D">
              <w:t>Hazards are identified, risks are assessed and control measures are implemented</w:t>
            </w:r>
          </w:p>
        </w:tc>
      </w:tr>
      <w:tr w:rsidTr="00431B6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92D">
            <w:pPr>
              <w:pStyle w:val="BodyText"/>
              <w:rPr>
                <w:lang w:val="en-NZ"/>
              </w:rPr>
            </w:pPr>
            <w:r w:rsidRPr="0006192D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92D">
            <w:pPr>
              <w:pStyle w:val="BodyText"/>
              <w:rPr>
                <w:lang w:val="en-NZ"/>
              </w:rPr>
            </w:pPr>
            <w:r w:rsidRPr="0006192D">
              <w:t>Type of storage facilities, their purpose and associated risk factors are identified</w:t>
            </w:r>
          </w:p>
        </w:tc>
      </w:tr>
      <w:tr w:rsidTr="00431B6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92D">
            <w:pPr>
              <w:pStyle w:val="BodyText"/>
              <w:rPr>
                <w:lang w:val="en-NZ"/>
              </w:rPr>
            </w:pPr>
            <w:r w:rsidRPr="0006192D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92D">
            <w:pPr>
              <w:pStyle w:val="BodyText"/>
              <w:rPr>
                <w:lang w:val="en-NZ"/>
              </w:rPr>
            </w:pPr>
            <w:r w:rsidRPr="0006192D">
              <w:t>Inventory lists are accessed through record management system</w:t>
            </w:r>
          </w:p>
        </w:tc>
      </w:tr>
      <w:tr w:rsidTr="00431B6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92D">
            <w:pPr>
              <w:pStyle w:val="BodyText"/>
              <w:rPr>
                <w:lang w:val="en-NZ"/>
              </w:rPr>
            </w:pPr>
            <w:r w:rsidRPr="0006192D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92D">
            <w:pPr>
              <w:pStyle w:val="BodyText"/>
              <w:rPr>
                <w:lang w:val="en-NZ"/>
              </w:rPr>
            </w:pPr>
            <w:r w:rsidRPr="0006192D">
              <w:t>Storage separations and co-storage applications are identified</w:t>
            </w:r>
          </w:p>
        </w:tc>
      </w:tr>
      <w:tr w:rsidTr="00431B6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192D" w:rsidP="0006192D">
            <w:pPr>
              <w:pStyle w:val="BodyText"/>
            </w:pPr>
            <w:r w:rsidRPr="0006192D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92D">
            <w:pPr>
              <w:pStyle w:val="BodyText"/>
              <w:rPr>
                <w:lang w:val="en-NZ"/>
              </w:rPr>
            </w:pPr>
            <w:r w:rsidRPr="0006192D">
              <w:rPr>
                <w:rStyle w:val="SpecialBold"/>
              </w:rPr>
              <w:t>Receive and despatch furnitur</w:t>
            </w:r>
            <w:r w:rsidRPr="0006192D">
              <w:rPr>
                <w:rStyle w:val="SpecialBold"/>
              </w:rPr>
              <w:t>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92D">
            <w:pPr>
              <w:pStyle w:val="BodyText"/>
              <w:rPr>
                <w:lang w:val="en-NZ"/>
              </w:rPr>
            </w:pPr>
            <w:r w:rsidRPr="0006192D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92D">
            <w:pPr>
              <w:pStyle w:val="BodyText"/>
              <w:rPr>
                <w:lang w:val="en-NZ"/>
              </w:rPr>
            </w:pPr>
            <w:r w:rsidRPr="0006192D">
              <w:t>Furniture for storage is received and transferred to allocated storage space in accordance with workplace procedures</w:t>
            </w:r>
          </w:p>
        </w:tc>
      </w:tr>
      <w:tr w:rsidTr="00431B6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92D">
            <w:pPr>
              <w:pStyle w:val="BodyText"/>
              <w:rPr>
                <w:lang w:val="en-NZ"/>
              </w:rPr>
            </w:pPr>
            <w:r w:rsidRPr="0006192D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92D">
            <w:pPr>
              <w:pStyle w:val="BodyText"/>
              <w:rPr>
                <w:lang w:val="en-NZ"/>
              </w:rPr>
            </w:pPr>
            <w:r w:rsidRPr="0006192D">
              <w:t>Furniture and effects are transferred from storage a</w:t>
            </w:r>
            <w:r w:rsidRPr="0006192D">
              <w:t>rea to loading dock and are despatched in accordance with workplace procedures and customer requirements</w:t>
            </w:r>
          </w:p>
        </w:tc>
      </w:tr>
      <w:tr w:rsidTr="00431B6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92D">
            <w:pPr>
              <w:pStyle w:val="BodyText"/>
              <w:rPr>
                <w:lang w:val="en-NZ"/>
              </w:rPr>
            </w:pPr>
            <w:r w:rsidRPr="0006192D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92D">
            <w:pPr>
              <w:pStyle w:val="BodyText"/>
              <w:rPr>
                <w:lang w:val="en-NZ"/>
              </w:rPr>
            </w:pPr>
            <w:r w:rsidRPr="0006192D">
              <w:t>Records of received and despatched furniture and effects are completed in accordance with workplace procedures</w:t>
            </w:r>
          </w:p>
        </w:tc>
      </w:tr>
      <w:tr w:rsidTr="00431B6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192D" w:rsidP="0006192D">
            <w:pPr>
              <w:pStyle w:val="BodyText"/>
            </w:pPr>
            <w:r w:rsidRPr="0006192D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92D">
            <w:pPr>
              <w:pStyle w:val="BodyText"/>
              <w:rPr>
                <w:lang w:val="en-NZ"/>
              </w:rPr>
            </w:pPr>
            <w:r w:rsidRPr="0006192D">
              <w:rPr>
                <w:rStyle w:val="SpecialBold"/>
              </w:rPr>
              <w:t>Maintain inventory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92D">
            <w:pPr>
              <w:pStyle w:val="BodyText"/>
              <w:rPr>
                <w:lang w:val="en-NZ"/>
              </w:rPr>
            </w:pPr>
            <w:r w:rsidRPr="0006192D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92D">
            <w:pPr>
              <w:pStyle w:val="BodyText"/>
              <w:rPr>
                <w:lang w:val="en-NZ"/>
              </w:rPr>
            </w:pPr>
            <w:r w:rsidRPr="0006192D">
              <w:t>Invento</w:t>
            </w:r>
            <w:r w:rsidRPr="0006192D">
              <w:t>ry is updated through data entry about furniture movements into, out of, and within storage areas</w:t>
            </w:r>
          </w:p>
        </w:tc>
      </w:tr>
      <w:tr w:rsidTr="00431B6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92D">
            <w:pPr>
              <w:pStyle w:val="BodyText"/>
              <w:rPr>
                <w:lang w:val="en-NZ"/>
              </w:rPr>
            </w:pPr>
            <w:r w:rsidRPr="0006192D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92D">
            <w:pPr>
              <w:pStyle w:val="BodyText"/>
              <w:rPr>
                <w:lang w:val="en-NZ"/>
              </w:rPr>
            </w:pPr>
            <w:r w:rsidRPr="0006192D">
              <w:t>Inventory data is confirmed to match furniture and effects for available storage and applicable storage requirements</w:t>
            </w:r>
          </w:p>
        </w:tc>
      </w:tr>
      <w:tr w:rsidTr="00431B6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92D">
            <w:pPr>
              <w:pStyle w:val="BodyText"/>
              <w:rPr>
                <w:lang w:val="en-NZ"/>
              </w:rPr>
            </w:pPr>
            <w:r w:rsidRPr="0006192D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92D">
            <w:pPr>
              <w:pStyle w:val="BodyText"/>
              <w:rPr>
                <w:lang w:val="en-NZ"/>
              </w:rPr>
            </w:pPr>
            <w:r w:rsidRPr="0006192D">
              <w:t>Audits and stocktakes of storage areas are used to verify inventory records</w:t>
            </w:r>
          </w:p>
        </w:tc>
      </w:tr>
      <w:tr w:rsidTr="00431B6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192D" w:rsidP="0006192D">
            <w:pPr>
              <w:pStyle w:val="BodyText"/>
            </w:pPr>
            <w:r w:rsidRPr="0006192D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92D">
            <w:pPr>
              <w:pStyle w:val="BodyText"/>
              <w:rPr>
                <w:lang w:val="en-NZ"/>
              </w:rPr>
            </w:pPr>
            <w:r w:rsidRPr="0006192D">
              <w:rPr>
                <w:rStyle w:val="SpecialBold"/>
              </w:rPr>
              <w:t>Maintain warehouse security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92D">
            <w:pPr>
              <w:pStyle w:val="BodyText"/>
              <w:rPr>
                <w:lang w:val="en-NZ"/>
              </w:rPr>
            </w:pPr>
            <w:r w:rsidRPr="0006192D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92D">
            <w:pPr>
              <w:pStyle w:val="BodyText"/>
              <w:rPr>
                <w:lang w:val="en-NZ"/>
              </w:rPr>
            </w:pPr>
            <w:r w:rsidRPr="0006192D">
              <w:t>Security of warehouse and storage areas is maintained in accordance with workplace procedures in conjunction with security personnel and with the</w:t>
            </w:r>
            <w:r w:rsidRPr="0006192D">
              <w:t xml:space="preserve"> aid of appropriate security technology</w:t>
            </w:r>
          </w:p>
        </w:tc>
      </w:tr>
      <w:tr w:rsidTr="00431B6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92D">
            <w:pPr>
              <w:pStyle w:val="BodyText"/>
              <w:rPr>
                <w:lang w:val="en-NZ"/>
              </w:rPr>
            </w:pPr>
            <w:r w:rsidRPr="0006192D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92D">
            <w:pPr>
              <w:pStyle w:val="BodyText"/>
              <w:rPr>
                <w:lang w:val="en-NZ"/>
              </w:rPr>
            </w:pPr>
            <w:r w:rsidRPr="0006192D">
              <w:t>Appropriate action/s is taken in response to breaches of operational and security procedures or to an emergency/incident</w:t>
            </w:r>
          </w:p>
        </w:tc>
      </w:tr>
      <w:tr w:rsidTr="00431B6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92D">
            <w:pPr>
              <w:pStyle w:val="BodyText"/>
              <w:rPr>
                <w:lang w:val="en-NZ"/>
              </w:rPr>
            </w:pPr>
            <w:r w:rsidRPr="0006192D"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92D">
            <w:pPr>
              <w:pStyle w:val="BodyText"/>
              <w:rPr>
                <w:lang w:val="en-NZ"/>
              </w:rPr>
            </w:pPr>
            <w:r w:rsidRPr="0006192D">
              <w:t>Operational actions and investigative outcomes are documented in accordance with workplace procedures</w:t>
            </w:r>
          </w:p>
        </w:tc>
      </w:tr>
      <w:tr w:rsidTr="00431B6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192D" w:rsidP="0006192D">
            <w:pPr>
              <w:pStyle w:val="BodyText"/>
            </w:pPr>
            <w:r w:rsidRPr="0006192D">
              <w:rPr>
                <w:rStyle w:val="SpecialBold"/>
              </w:rPr>
              <w:t>5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92D">
            <w:pPr>
              <w:pStyle w:val="BodyText"/>
              <w:rPr>
                <w:lang w:val="en-NZ"/>
              </w:rPr>
            </w:pPr>
            <w:r w:rsidRPr="0006192D">
              <w:rPr>
                <w:rStyle w:val="SpecialBold"/>
              </w:rPr>
              <w:t>Monitor storage operations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92D">
            <w:pPr>
              <w:pStyle w:val="BodyText"/>
              <w:rPr>
                <w:lang w:val="en-NZ"/>
              </w:rPr>
            </w:pPr>
            <w:r w:rsidRPr="0006192D">
              <w:t>5.1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92D">
            <w:pPr>
              <w:pStyle w:val="BodyText"/>
              <w:rPr>
                <w:lang w:val="en-NZ"/>
              </w:rPr>
            </w:pPr>
            <w:r w:rsidRPr="0006192D">
              <w:t>Storage areas are supervised to ensure movement of personnel and furniture items is in accordance with workplace procedu</w:t>
            </w:r>
            <w:r w:rsidRPr="0006192D">
              <w:t>res</w:t>
            </w:r>
          </w:p>
        </w:tc>
      </w:tr>
      <w:tr w:rsidTr="00431B6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92D">
            <w:pPr>
              <w:pStyle w:val="BodyText"/>
              <w:rPr>
                <w:lang w:val="en-NZ"/>
              </w:rPr>
            </w:pPr>
            <w:r w:rsidRPr="0006192D">
              <w:t>5.2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92D">
            <w:pPr>
              <w:pStyle w:val="BodyText"/>
              <w:rPr>
                <w:lang w:val="en-NZ"/>
              </w:rPr>
            </w:pPr>
            <w:r w:rsidRPr="0006192D">
              <w:t>Storage facilities are checked to ensure appropriate operational capacity</w:t>
            </w:r>
          </w:p>
        </w:tc>
      </w:tr>
      <w:tr w:rsidTr="00431B6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92D">
            <w:pPr>
              <w:pStyle w:val="BodyText"/>
              <w:rPr>
                <w:lang w:val="en-NZ"/>
              </w:rPr>
            </w:pPr>
            <w:r w:rsidRPr="0006192D">
              <w:t>5.3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92D">
            <w:pPr>
              <w:pStyle w:val="BodyText"/>
              <w:rPr>
                <w:lang w:val="en-NZ"/>
              </w:rPr>
            </w:pPr>
            <w:r w:rsidRPr="0006192D">
              <w:t>Integrity of furniture and effects is monitored to ensure appropriate condition is maintained</w:t>
            </w:r>
          </w:p>
        </w:tc>
      </w:tr>
      <w:tr w:rsidTr="00431B6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92D">
            <w:pPr>
              <w:pStyle w:val="BodyText"/>
              <w:rPr>
                <w:lang w:val="en-NZ"/>
              </w:rPr>
            </w:pPr>
            <w:r w:rsidRPr="0006192D">
              <w:t>5.4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92D">
            <w:pPr>
              <w:pStyle w:val="BodyText"/>
              <w:rPr>
                <w:lang w:val="en-NZ"/>
              </w:rPr>
            </w:pPr>
            <w:r w:rsidRPr="0006192D">
              <w:t>Deterioration in condition of fu</w:t>
            </w:r>
            <w:r w:rsidRPr="0006192D">
              <w:t>rniture and effects is recorded, investigated and reported for appropriate action</w:t>
            </w:r>
          </w:p>
        </w:tc>
      </w:tr>
      <w:tr w:rsidTr="00431B6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92D">
            <w:pPr>
              <w:pStyle w:val="BodyText"/>
              <w:rPr>
                <w:lang w:val="en-NZ"/>
              </w:rPr>
            </w:pPr>
            <w:r w:rsidRPr="0006192D">
              <w:t>5.5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92D">
            <w:pPr>
              <w:pStyle w:val="BodyText"/>
              <w:rPr>
                <w:lang w:val="en-NZ"/>
              </w:rPr>
            </w:pPr>
            <w:r w:rsidRPr="0006192D">
              <w:t xml:space="preserve">Discrepancies/changes to storage requirements and/or inventory lists are noted and </w:t>
            </w:r>
            <w:r w:rsidRPr="0006192D">
              <w:t>appropriate action is initiated in accordance with workplace procedures</w:t>
            </w:r>
          </w:p>
        </w:tc>
      </w:tr>
      <w:tr w:rsidTr="00431B6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192D" w:rsidP="0006192D">
            <w:pPr>
              <w:pStyle w:val="BodyText"/>
            </w:pPr>
            <w:r w:rsidRPr="0006192D">
              <w:rPr>
                <w:rStyle w:val="SpecialBold"/>
              </w:rPr>
              <w:t>6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92D">
            <w:pPr>
              <w:pStyle w:val="BodyText"/>
              <w:rPr>
                <w:lang w:val="en-NZ"/>
              </w:rPr>
            </w:pPr>
            <w:r w:rsidRPr="0006192D">
              <w:rPr>
                <w:rStyle w:val="SpecialBold"/>
              </w:rPr>
              <w:t>Complete records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92D">
            <w:pPr>
              <w:pStyle w:val="BodyText"/>
              <w:rPr>
                <w:lang w:val="en-NZ"/>
              </w:rPr>
            </w:pPr>
            <w:r w:rsidRPr="0006192D">
              <w:t>6.1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92D">
            <w:pPr>
              <w:pStyle w:val="BodyText"/>
              <w:rPr>
                <w:lang w:val="en-NZ"/>
              </w:rPr>
            </w:pPr>
            <w:r w:rsidRPr="0006192D">
              <w:t>Records of warehouse operations are confirmed</w:t>
            </w:r>
          </w:p>
        </w:tc>
      </w:tr>
      <w:tr w:rsidTr="00431B6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92D">
            <w:pPr>
              <w:pStyle w:val="BodyText"/>
              <w:rPr>
                <w:lang w:val="en-NZ"/>
              </w:rPr>
            </w:pPr>
            <w:r w:rsidRPr="0006192D">
              <w:t>6.2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92D">
            <w:pPr>
              <w:pStyle w:val="BodyText"/>
              <w:rPr>
                <w:lang w:val="en-NZ"/>
              </w:rPr>
            </w:pPr>
            <w:r w:rsidRPr="0006192D">
              <w:t xml:space="preserve">Records of warehouse operations are completed legibly and proofread </w:t>
            </w:r>
          </w:p>
        </w:tc>
      </w:tr>
      <w:tr w:rsidTr="00431B6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92D">
            <w:pPr>
              <w:pStyle w:val="BodyText"/>
              <w:rPr>
                <w:lang w:val="en-NZ"/>
              </w:rPr>
            </w:pPr>
            <w:r w:rsidRPr="0006192D">
              <w:t>6.3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192D" w:rsidP="0006192D">
            <w:pPr>
              <w:pStyle w:val="BodyText"/>
            </w:pPr>
            <w:r w:rsidRPr="0006192D">
              <w:t>Records of warehouse operations are processed in accordance with workplace procedures</w:t>
            </w:r>
          </w:p>
        </w:tc>
      </w:tr>
    </w:tbl>
    <w:p w:rsidR="00431B68" w:rsidP="0006192D">
      <w:pPr>
        <w:pStyle w:val="BodyText"/>
      </w:pPr>
    </w:p>
    <w:p w:rsidR="00431B68" w:rsidP="0006192D">
      <w:pPr>
        <w:pStyle w:val="BodyText"/>
      </w:pPr>
    </w:p>
    <w:p w:rsidR="00000000" w:rsidRPr="0006192D" w:rsidP="0006192D">
      <w:pPr>
        <w:pStyle w:val="Heading1"/>
      </w:pPr>
      <w:bookmarkStart w:id="7" w:name="O_798819"/>
      <w:bookmarkEnd w:id="7"/>
      <w:r w:rsidRPr="0006192D">
        <w:t>Foundation Skills</w:t>
      </w:r>
    </w:p>
    <w:p w:rsidR="00431B68" w:rsidP="00431B68">
      <w:pPr>
        <w:pStyle w:val="BodyText"/>
      </w:pPr>
      <w:r w:rsidRPr="0006192D">
        <w:t>Foundation skills essential to performance are explicit in the performance criteria of this unit of competency.</w:t>
      </w:r>
    </w:p>
    <w:p w:rsidR="00000000" w:rsidRPr="0006192D" w:rsidP="0006192D">
      <w:pPr>
        <w:pStyle w:val="Heading1"/>
      </w:pPr>
      <w:bookmarkStart w:id="8" w:name="O_798820"/>
      <w:bookmarkEnd w:id="8"/>
      <w:r w:rsidRPr="0006192D">
        <w:t>Range of Conditions</w:t>
      </w:r>
    </w:p>
    <w:p w:rsidR="00000000" w:rsidRPr="0006192D" w:rsidP="00431B68">
      <w:pPr>
        <w:pStyle w:val="BodyText"/>
      </w:pPr>
      <w:r w:rsidRPr="0006192D">
        <w:t xml:space="preserve">Range is restricted to essential operating conditions and any other variables essential </w:t>
      </w:r>
      <w:r w:rsidRPr="0006192D">
        <w:t>to the work environment.</w:t>
      </w:r>
    </w:p>
    <w:p w:rsidR="00431B68" w:rsidP="00431B68">
      <w:pPr>
        <w:pStyle w:val="BodyText"/>
      </w:pPr>
      <w:r w:rsidRPr="0006192D">
        <w:t>Non-essential conditions can be found in the Companion Volume Implementation Guide.</w:t>
      </w:r>
    </w:p>
    <w:p w:rsidR="00000000" w:rsidRPr="0006192D" w:rsidP="0006192D">
      <w:pPr>
        <w:pStyle w:val="Heading1"/>
      </w:pPr>
      <w:bookmarkStart w:id="9" w:name="O_798821"/>
      <w:bookmarkEnd w:id="9"/>
      <w:r w:rsidRPr="0006192D">
        <w:t>Unit Mapping Information</w:t>
      </w:r>
    </w:p>
    <w:p w:rsidR="00431B68" w:rsidP="00431B68">
      <w:pPr>
        <w:pStyle w:val="BodyText"/>
      </w:pPr>
      <w:r w:rsidRPr="0006192D">
        <w:t>This unit replaces and is equivalent to TLIL4030A Control a furniture warehouse.</w:t>
      </w:r>
    </w:p>
    <w:p w:rsidR="00000000" w:rsidRPr="0006192D" w:rsidP="0006192D">
      <w:pPr>
        <w:pStyle w:val="Heading1"/>
      </w:pPr>
      <w:bookmarkStart w:id="10" w:name="O_798828"/>
      <w:bookmarkEnd w:id="10"/>
      <w:r w:rsidRPr="0006192D">
        <w:t>Links</w:t>
      </w:r>
    </w:p>
    <w:p w:rsidR="00000000" w:rsidRPr="0006192D" w:rsidP="00431B68">
      <w:pPr>
        <w:pStyle w:val="BodyText"/>
      </w:pPr>
      <w:r w:rsidRPr="0006192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D160FB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06192D" w:rsidP="0006192D"/>
    <w:sectPr w:rsidSect="0006192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92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92D" w:rsidRPr="00431B68" w:rsidP="00431B6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92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B68" w:rsidP="0006192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31B68" w:rsidP="0006192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431B68" w:rsidP="0006192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92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B6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6192D" w:rsidRPr="00431B68" w:rsidP="00431B6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92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B68" w:rsidRPr="002D2AF8" w:rsidP="0006192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TLIL4030 Control a furniture warehouse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April 2021</w:t>
    </w:r>
    <w:r>
      <w:fldChar w:fldCharType="end"/>
    </w:r>
  </w:p>
  <w:p w:rsidR="00431B68" w:rsidP="0006192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192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6192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6192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6192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6192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6192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6192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6192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6192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6192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6192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6192D"/>
  </w:style>
  <w:style w:type="character" w:customStyle="1" w:styleId="Heading1Char">
    <w:name w:val="Heading 1 Char"/>
    <w:basedOn w:val="DefaultParagraphFont"/>
    <w:link w:val="Heading1"/>
    <w:rsid w:val="0006192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6192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6192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6192D"/>
    <w:rPr>
      <w:b/>
      <w:spacing w:val="0"/>
    </w:rPr>
  </w:style>
  <w:style w:type="paragraph" w:customStyle="1" w:styleId="SuperHeading">
    <w:name w:val="SuperHeading"/>
    <w:basedOn w:val="Normal"/>
    <w:rsid w:val="0006192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6192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6192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6192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6192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619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619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619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619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6192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6192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6192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6192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6192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6192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6192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6192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6192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6192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6192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6192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6192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6192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6192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6192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6192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6192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6192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6192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6192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6192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6192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6192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6192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6192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6192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6192D"/>
    <w:rPr>
      <w:i/>
    </w:rPr>
  </w:style>
  <w:style w:type="paragraph" w:styleId="Caption">
    <w:name w:val="caption"/>
    <w:basedOn w:val="BodyText"/>
    <w:next w:val="Normal"/>
    <w:qFormat/>
    <w:rsid w:val="0006192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6192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6192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6192D"/>
  </w:style>
  <w:style w:type="paragraph" w:styleId="TableofFigures">
    <w:name w:val="table of figures"/>
    <w:basedOn w:val="Normal"/>
    <w:next w:val="Normal"/>
    <w:semiHidden/>
    <w:rsid w:val="0006192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6192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6192D"/>
    <w:rPr>
      <w:rFonts w:ascii="Wingdings" w:hAnsi="Wingdings"/>
    </w:rPr>
  </w:style>
  <w:style w:type="paragraph" w:customStyle="1" w:styleId="TableHeading">
    <w:name w:val="Table Heading"/>
    <w:basedOn w:val="HeadingBase"/>
    <w:rsid w:val="0006192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6192D"/>
    <w:rPr>
      <w:color w:val="0033CC"/>
      <w:u w:val="none"/>
    </w:rPr>
  </w:style>
  <w:style w:type="paragraph" w:customStyle="1" w:styleId="BodyTextRight">
    <w:name w:val="Body Text Right"/>
    <w:basedOn w:val="BodyText"/>
    <w:rsid w:val="0006192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6192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6192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6192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6192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6192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6192D"/>
    <w:rPr>
      <w:sz w:val="32"/>
    </w:rPr>
  </w:style>
  <w:style w:type="paragraph" w:customStyle="1" w:styleId="HeadingProcedure">
    <w:name w:val="Heading Procedure"/>
    <w:basedOn w:val="HeadingBase"/>
    <w:next w:val="Normal"/>
    <w:rsid w:val="0006192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6192D"/>
    <w:pPr>
      <w:spacing w:before="60" w:after="60"/>
    </w:pPr>
  </w:style>
  <w:style w:type="paragraph" w:styleId="ListContinue">
    <w:name w:val="List Continue"/>
    <w:basedOn w:val="List"/>
    <w:rsid w:val="0006192D"/>
    <w:pPr>
      <w:ind w:firstLine="0"/>
    </w:pPr>
  </w:style>
  <w:style w:type="paragraph" w:customStyle="1" w:styleId="ListNote">
    <w:name w:val="List Note"/>
    <w:basedOn w:val="List"/>
    <w:rsid w:val="0006192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6192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6192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6192D"/>
    <w:rPr>
      <w:rFonts w:ascii="Courier New" w:hAnsi="Courier New"/>
    </w:rPr>
  </w:style>
  <w:style w:type="paragraph" w:customStyle="1" w:styleId="NoteBullet">
    <w:name w:val="Note Bullet"/>
    <w:basedOn w:val="Note"/>
    <w:rsid w:val="0006192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6192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6192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6192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6192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6192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6192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6192D"/>
    <w:rPr>
      <w:b/>
      <w:smallCaps/>
    </w:rPr>
  </w:style>
  <w:style w:type="paragraph" w:customStyle="1" w:styleId="TableListNumber">
    <w:name w:val="Table List Number"/>
    <w:basedOn w:val="ListNumber"/>
    <w:rsid w:val="0006192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6192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6192D"/>
    <w:pPr>
      <w:numPr>
        <w:numId w:val="7"/>
      </w:numPr>
    </w:pPr>
  </w:style>
  <w:style w:type="paragraph" w:customStyle="1" w:styleId="ListAlpha2">
    <w:name w:val="List Alpha 2"/>
    <w:basedOn w:val="List2"/>
    <w:rsid w:val="0006192D"/>
    <w:pPr>
      <w:numPr>
        <w:numId w:val="6"/>
      </w:numPr>
    </w:pPr>
  </w:style>
  <w:style w:type="paragraph" w:styleId="List2">
    <w:name w:val="List 2"/>
    <w:basedOn w:val="BodyText"/>
    <w:rsid w:val="0006192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6192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6192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6192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6192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6192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6192D"/>
    <w:pPr>
      <w:numPr>
        <w:numId w:val="2"/>
      </w:numPr>
    </w:pPr>
  </w:style>
  <w:style w:type="paragraph" w:styleId="ListContinue2">
    <w:name w:val="List Continue 2"/>
    <w:basedOn w:val="List2"/>
    <w:rsid w:val="0006192D"/>
    <w:pPr>
      <w:ind w:firstLine="0"/>
    </w:pPr>
  </w:style>
  <w:style w:type="paragraph" w:styleId="ListContinue3">
    <w:name w:val="List Continue 3"/>
    <w:basedOn w:val="List3"/>
    <w:rsid w:val="0006192D"/>
    <w:pPr>
      <w:ind w:left="1021" w:firstLine="0"/>
    </w:pPr>
  </w:style>
  <w:style w:type="paragraph" w:styleId="ListContinue4">
    <w:name w:val="List Continue 4"/>
    <w:basedOn w:val="List4"/>
    <w:rsid w:val="0006192D"/>
    <w:pPr>
      <w:ind w:firstLine="0"/>
    </w:pPr>
  </w:style>
  <w:style w:type="paragraph" w:styleId="ListContinue5">
    <w:name w:val="List Continue 5"/>
    <w:basedOn w:val="List5"/>
    <w:rsid w:val="0006192D"/>
    <w:pPr>
      <w:ind w:firstLine="0"/>
    </w:pPr>
  </w:style>
  <w:style w:type="paragraph" w:styleId="ListNumber3">
    <w:name w:val="List Number 3"/>
    <w:basedOn w:val="List3"/>
    <w:rsid w:val="0006192D"/>
    <w:pPr>
      <w:numPr>
        <w:numId w:val="3"/>
      </w:numPr>
    </w:pPr>
  </w:style>
  <w:style w:type="paragraph" w:styleId="ListNumber4">
    <w:name w:val="List Number 4"/>
    <w:basedOn w:val="List4"/>
    <w:rsid w:val="0006192D"/>
    <w:pPr>
      <w:numPr>
        <w:numId w:val="4"/>
      </w:numPr>
    </w:pPr>
  </w:style>
  <w:style w:type="paragraph" w:styleId="ListNumber5">
    <w:name w:val="List Number 5"/>
    <w:basedOn w:val="List5"/>
    <w:rsid w:val="0006192D"/>
    <w:pPr>
      <w:numPr>
        <w:numId w:val="5"/>
      </w:numPr>
    </w:pPr>
  </w:style>
  <w:style w:type="paragraph" w:styleId="BlockText">
    <w:name w:val="Block Text"/>
    <w:basedOn w:val="Normal"/>
    <w:rsid w:val="0006192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6192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6192D"/>
    <w:rPr>
      <w:sz w:val="16"/>
      <w:vertAlign w:val="superscript"/>
    </w:rPr>
  </w:style>
  <w:style w:type="character" w:customStyle="1" w:styleId="Symbols">
    <w:name w:val="Symbols"/>
    <w:basedOn w:val="DefaultParagraphFont"/>
    <w:rsid w:val="0006192D"/>
    <w:rPr>
      <w:rFonts w:ascii="Symbol" w:hAnsi="Symbol"/>
    </w:rPr>
  </w:style>
  <w:style w:type="character" w:customStyle="1" w:styleId="MenuOptions">
    <w:name w:val="Menu Options"/>
    <w:basedOn w:val="DefaultParagraphFont"/>
    <w:rsid w:val="0006192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6192D"/>
    <w:rPr>
      <w:b/>
    </w:rPr>
  </w:style>
  <w:style w:type="character" w:customStyle="1" w:styleId="Underlined">
    <w:name w:val="Underlined"/>
    <w:basedOn w:val="DefaultParagraphFont"/>
    <w:rsid w:val="0006192D"/>
    <w:rPr>
      <w:u w:val="single"/>
    </w:rPr>
  </w:style>
  <w:style w:type="paragraph" w:customStyle="1" w:styleId="TableBodyTextRight">
    <w:name w:val="Table Body Text Right"/>
    <w:basedOn w:val="TableBodyText"/>
    <w:rsid w:val="0006192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6192D"/>
    <w:rPr>
      <w:sz w:val="18"/>
    </w:rPr>
  </w:style>
  <w:style w:type="paragraph" w:customStyle="1" w:styleId="BodySmallRight">
    <w:name w:val="Body Small Right"/>
    <w:basedOn w:val="BodyTextRight"/>
    <w:rsid w:val="0006192D"/>
    <w:rPr>
      <w:sz w:val="18"/>
      <w:szCs w:val="18"/>
    </w:rPr>
  </w:style>
  <w:style w:type="paragraph" w:customStyle="1" w:styleId="MarginEdition">
    <w:name w:val="Margin Edition"/>
    <w:basedOn w:val="MarginNote"/>
    <w:rsid w:val="0006192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6192D"/>
    <w:rPr>
      <w:sz w:val="2"/>
      <w:szCs w:val="2"/>
    </w:rPr>
  </w:style>
  <w:style w:type="character" w:customStyle="1" w:styleId="Small">
    <w:name w:val="Small"/>
    <w:basedOn w:val="DefaultParagraphFont"/>
    <w:rsid w:val="0006192D"/>
    <w:rPr>
      <w:sz w:val="16"/>
    </w:rPr>
  </w:style>
  <w:style w:type="paragraph" w:customStyle="1" w:styleId="WideTable">
    <w:name w:val="Wide Table"/>
    <w:basedOn w:val="Normal"/>
    <w:rsid w:val="0006192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6192D"/>
  </w:style>
  <w:style w:type="paragraph" w:styleId="Quote">
    <w:name w:val="Quote"/>
    <w:basedOn w:val="Heading1"/>
    <w:link w:val="QuoteChar"/>
    <w:qFormat/>
    <w:rsid w:val="0006192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6192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6192D"/>
    <w:pPr>
      <w:pageBreakBefore/>
    </w:pPr>
  </w:style>
  <w:style w:type="paragraph" w:customStyle="1" w:styleId="Border">
    <w:name w:val="Border"/>
    <w:basedOn w:val="Normal"/>
    <w:qFormat/>
    <w:rsid w:val="0006192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6192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192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192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6192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6192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6192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6192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6192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6192D"/>
    <w:rPr>
      <w:u w:val="single"/>
    </w:rPr>
  </w:style>
  <w:style w:type="character" w:customStyle="1" w:styleId="BoldandItalics">
    <w:name w:val="Bold and Italics"/>
    <w:qFormat/>
    <w:rsid w:val="0006192D"/>
    <w:rPr>
      <w:b/>
      <w:i/>
      <w:u w:val="none"/>
    </w:rPr>
  </w:style>
  <w:style w:type="paragraph" w:styleId="BalloonText">
    <w:name w:val="Balloon Text"/>
    <w:basedOn w:val="Normal"/>
    <w:link w:val="BalloonTextChar"/>
    <w:rsid w:val="000619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6192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6192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6192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6192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6192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6192D"/>
    <w:pPr>
      <w:spacing w:before="0" w:after="0"/>
    </w:pPr>
  </w:style>
  <w:style w:type="paragraph" w:customStyle="1" w:styleId="BodyTextBold">
    <w:name w:val="Body Text Bold"/>
    <w:basedOn w:val="BodyText"/>
    <w:qFormat/>
    <w:rsid w:val="0006192D"/>
    <w:rPr>
      <w:b/>
    </w:rPr>
  </w:style>
  <w:style w:type="character" w:styleId="Hyperlink">
    <w:name w:val="Hyperlink"/>
    <w:basedOn w:val="DefaultParagraphFont"/>
    <w:uiPriority w:val="99"/>
    <w:unhideWhenUsed/>
    <w:rsid w:val="00431B6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618</Words>
  <Characters>3958</Characters>
  <Application>Microsoft Office Word</Application>
  <DocSecurity>0</DocSecurity>
  <Lines>172</Lines>
  <Paragraphs>103</Paragraphs>
  <ScaleCrop>false</ScaleCrop>
  <Company>Author-it Software Corporation Ltd.</Company>
  <LinksUpToDate>false</LinksUpToDate>
  <CharactersWithSpaces>4473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TLIL4030 Control a furniture warehouse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2021-04-12T02:10:00Z</dcterms:created>
  <dcterms:modified xsi:type="dcterms:W3CDTF">2021-04-12T02:10:00Z</dcterms:modified>
</cp:coreProperties>
</file>