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4E20" w:rsidP="00EF4E20">
      <w:pPr>
        <w:pStyle w:val="Title"/>
      </w:pPr>
      <w:r>
        <w:fldChar w:fldCharType="begin"/>
      </w:r>
      <w:r>
        <w:instrText xml:space="preserve"> TITLE   \* MERGEFORMAT </w:instrText>
      </w:r>
      <w:r>
        <w:fldChar w:fldCharType="separate"/>
      </w:r>
      <w:r>
        <w:t>TLIL4021 Coordinate the erection and dismantling of temporary storage facilities</w:t>
      </w:r>
      <w:r>
        <w:fldChar w:fldCharType="end"/>
      </w:r>
    </w:p>
    <w:p w:rsidR="00EF4E20" w:rsidP="00EF4E20">
      <w:pPr>
        <w:pStyle w:val="Version"/>
        <w:sectPr w:rsidSect="00D917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17B9" w:rsidP="00D917B9">
      <w:pPr>
        <w:pStyle w:val="SuperHeading"/>
      </w:pPr>
      <w:r w:rsidRPr="00D917B9">
        <w:t>TLIL4021 Coordinate the erection and dismantling of temporary storage facilities</w:t>
      </w:r>
    </w:p>
    <w:p w:rsidR="00000000" w:rsidRPr="00D917B9" w:rsidP="00D917B9">
      <w:pPr>
        <w:pStyle w:val="Heading1"/>
      </w:pPr>
      <w:bookmarkStart w:id="1" w:name="O_798794"/>
      <w:bookmarkEnd w:id="1"/>
      <w:r w:rsidRPr="00D917B9">
        <w:t>Modification History</w:t>
      </w:r>
    </w:p>
    <w:p w:rsidR="00EF4E20" w:rsidP="00EF4E20">
      <w:pPr>
        <w:pStyle w:val="BodyText"/>
      </w:pPr>
      <w:r w:rsidRPr="00D917B9">
        <w:t>Release 1. This is the first release of this unit of competency in the TLI Transport and Logistics Training Package.</w:t>
      </w:r>
    </w:p>
    <w:p w:rsidR="00000000" w:rsidRPr="00D917B9" w:rsidP="00D917B9">
      <w:pPr>
        <w:pStyle w:val="Heading1"/>
      </w:pPr>
      <w:bookmarkStart w:id="2" w:name="O_798795"/>
      <w:bookmarkEnd w:id="2"/>
      <w:r w:rsidRPr="00D917B9">
        <w:t>Application</w:t>
      </w:r>
    </w:p>
    <w:p w:rsidR="00000000" w:rsidRPr="00D917B9" w:rsidP="00EF4E20">
      <w:pPr>
        <w:pStyle w:val="BodyText"/>
      </w:pPr>
      <w:r w:rsidRPr="00D917B9">
        <w:t>This unit involves the skills and knowledge required to coordinate the erection and dismantling of temporary storage facilities in accordance with regulatory requirements and workplace procedures in the transport and logistics industry.</w:t>
      </w:r>
    </w:p>
    <w:p w:rsidR="00000000" w:rsidRPr="00D917B9" w:rsidP="00EF4E20">
      <w:pPr>
        <w:pStyle w:val="BodyText"/>
      </w:pPr>
      <w:r w:rsidRPr="00D917B9">
        <w:t>It incl</w:t>
      </w:r>
      <w:r w:rsidRPr="00D917B9">
        <w:t xml:space="preserve">udes planning the erection of temporary storage facilities, erecting temporary storage facilities as planned and dismantling temporary storage facilities after out loading. </w:t>
      </w:r>
    </w:p>
    <w:p w:rsidR="00000000" w:rsidRPr="00D917B9" w:rsidP="00EF4E20">
      <w:pPr>
        <w:pStyle w:val="BodyText"/>
      </w:pPr>
      <w:r w:rsidRPr="00D917B9">
        <w:t>Work is performed under some supervision, generally within a team/group environmen</w:t>
      </w:r>
      <w:r w:rsidRPr="00D917B9">
        <w:t xml:space="preserve">t. </w:t>
      </w:r>
    </w:p>
    <w:p w:rsidR="00EF4E20" w:rsidP="00EF4E20">
      <w:pPr>
        <w:pStyle w:val="BodyText"/>
      </w:pPr>
      <w:r w:rsidRPr="00D917B9">
        <w:t>No licensing, legislative or certification requirements apply to this unit at the time of publication.</w:t>
      </w:r>
    </w:p>
    <w:p w:rsidR="00000000" w:rsidRPr="00D917B9" w:rsidP="00D917B9">
      <w:pPr>
        <w:pStyle w:val="Heading1"/>
      </w:pPr>
      <w:bookmarkStart w:id="3" w:name="O_798796"/>
      <w:bookmarkEnd w:id="3"/>
      <w:r w:rsidRPr="00D917B9">
        <w:t>Pre-requisite Unit</w:t>
      </w:r>
    </w:p>
    <w:p w:rsidR="00000000" w:rsidRPr="00D917B9" w:rsidP="00EF4E20">
      <w:pPr>
        <w:pStyle w:val="BodyText"/>
      </w:pPr>
      <w:r w:rsidRPr="00D917B9">
        <w:t>Not applicable.</w:t>
      </w:r>
    </w:p>
    <w:p w:rsidR="00000000" w:rsidRPr="00D917B9" w:rsidP="00D917B9">
      <w:pPr>
        <w:pStyle w:val="Heading1"/>
      </w:pPr>
      <w:bookmarkStart w:id="4" w:name="O_798797"/>
      <w:bookmarkEnd w:id="4"/>
      <w:r w:rsidRPr="00D917B9">
        <w:t>Competency Field</w:t>
      </w:r>
    </w:p>
    <w:p w:rsidR="00EF4E20" w:rsidP="00EF4E20">
      <w:pPr>
        <w:pStyle w:val="BodyText"/>
      </w:pPr>
      <w:r w:rsidRPr="00D917B9">
        <w:t>L – Resource Management</w:t>
      </w:r>
    </w:p>
    <w:p w:rsidR="00000000" w:rsidRPr="00D917B9" w:rsidP="00D917B9">
      <w:pPr>
        <w:pStyle w:val="Heading1"/>
      </w:pPr>
      <w:bookmarkStart w:id="5" w:name="O_798798"/>
      <w:bookmarkEnd w:id="5"/>
      <w:r w:rsidRPr="00D917B9">
        <w:t>Unit Sector</w:t>
      </w:r>
    </w:p>
    <w:p w:rsidR="00000000" w:rsidRPr="00D917B9" w:rsidP="00EF4E20">
      <w:pPr>
        <w:pStyle w:val="BodyText"/>
      </w:pPr>
      <w:r w:rsidRPr="00D917B9">
        <w:t>Not appl</w:t>
      </w:r>
      <w:r w:rsidRPr="00D917B9">
        <w:t>icable.</w:t>
      </w:r>
    </w:p>
    <w:p w:rsidR="00000000" w:rsidRPr="00D917B9" w:rsidP="00D917B9">
      <w:pPr>
        <w:pStyle w:val="Heading1"/>
      </w:pPr>
      <w:bookmarkStart w:id="6" w:name="O_798799"/>
      <w:bookmarkEnd w:id="6"/>
      <w:r w:rsidRPr="00D917B9">
        <w:t>Elements and Performance Criteria</w:t>
      </w:r>
    </w:p>
    <w:tbl>
      <w:tblPr>
        <w:tblW w:w="0" w:type="auto"/>
        <w:tblCellMar>
          <w:left w:w="62" w:type="dxa"/>
          <w:right w:w="62" w:type="dxa"/>
        </w:tblCellMar>
        <w:tblLook w:val="0000"/>
      </w:tblPr>
      <w:tblGrid>
        <w:gridCol w:w="330"/>
        <w:gridCol w:w="1756"/>
        <w:gridCol w:w="549"/>
        <w:gridCol w:w="6561"/>
      </w:tblGrid>
      <w:tr w:rsidTr="00EF4E2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D917B9" w:rsidP="00D917B9">
            <w:pPr>
              <w:pStyle w:val="BodyText"/>
            </w:pPr>
            <w:r w:rsidRPr="00D917B9">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rPr>
                <w:rStyle w:val="SpecialBold"/>
              </w:rPr>
              <w:t>PERFORMANCE CRITERIA</w:t>
            </w:r>
          </w:p>
        </w:tc>
      </w:tr>
      <w:tr w:rsidTr="00EF4E2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Performance criteria describe the performance needed to demonstrate achievement of the element.</w:t>
            </w:r>
          </w:p>
        </w:tc>
      </w:tr>
      <w:tr w:rsidTr="00EF4E2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917B9" w:rsidP="00D917B9">
            <w:pPr>
              <w:pStyle w:val="BodyText"/>
            </w:pPr>
            <w:r w:rsidRPr="00D917B9">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rPr>
                <w:rStyle w:val="SpecialBold"/>
              </w:rPr>
              <w:t xml:space="preserve">Plan erection of </w:t>
            </w:r>
            <w:r w:rsidRPr="00D917B9">
              <w:rPr>
                <w:rStyle w:val="SpecialBold"/>
              </w:rPr>
              <w:t>temporary storage facility</w:t>
            </w: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1.1</w:t>
            </w: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 xml:space="preserve">Plans, storage specifications, assembly details and erection sequence are obtained and </w:t>
            </w:r>
            <w:r w:rsidRPr="00D917B9">
              <w:t>examined for accuracy to meet intended storage requirements</w:t>
            </w:r>
          </w:p>
        </w:tc>
      </w:tr>
      <w:tr w:rsidTr="00EF4E2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1.2</w:t>
            </w: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Engineering drawings, computations and instructions ar</w:t>
            </w:r>
            <w:r w:rsidRPr="00D917B9">
              <w:t>e obtained from qualified persons as required</w:t>
            </w:r>
          </w:p>
        </w:tc>
      </w:tr>
      <w:tr w:rsidTr="00EF4E2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1.3</w:t>
            </w: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Local and state/territory authority approvals for storage facility construction are obtained</w:t>
            </w:r>
          </w:p>
        </w:tc>
      </w:tr>
      <w:tr w:rsidTr="00EF4E2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1.4</w:t>
            </w: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Hazards are identified, risks are assessed and control measures are implemented</w:t>
            </w:r>
          </w:p>
        </w:tc>
      </w:tr>
      <w:tr w:rsidTr="00EF4E2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1.5</w:t>
            </w: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Labour and equipment requirements for storage facility construction are organised and scheduled in accordance with erection sequence</w:t>
            </w:r>
          </w:p>
        </w:tc>
      </w:tr>
      <w:tr w:rsidTr="00EF4E2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917B9" w:rsidP="00D917B9">
            <w:pPr>
              <w:pStyle w:val="BodyText"/>
            </w:pPr>
            <w:r w:rsidRPr="00D917B9">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rPr>
                <w:rStyle w:val="SpecialBold"/>
              </w:rPr>
              <w:t>Erect temporary storage facility</w:t>
            </w: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2.1</w:t>
            </w: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Foundations and earthworks for temporary storage are prepared in accordance with wo</w:t>
            </w:r>
            <w:r w:rsidRPr="00D917B9">
              <w:t>rkplace instructions and specifications</w:t>
            </w:r>
          </w:p>
        </w:tc>
      </w:tr>
      <w:tr w:rsidTr="00EF4E2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2.2</w:t>
            </w: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Structural and storage components are assembled and placed in accordance with workplace instructions and specifications</w:t>
            </w:r>
          </w:p>
        </w:tc>
      </w:tr>
      <w:tr w:rsidTr="00EF4E2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2.3</w:t>
            </w: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Protective sheeting (floor and wall) is placed and sealed/sewn in accordance with workplace specifications</w:t>
            </w:r>
          </w:p>
        </w:tc>
      </w:tr>
      <w:tr w:rsidTr="00EF4E2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2.4</w:t>
            </w: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Material is placed into temporary storage facility in accordance with specifications and site procedures</w:t>
            </w:r>
          </w:p>
        </w:tc>
      </w:tr>
      <w:tr w:rsidTr="00EF4E2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2.5</w:t>
            </w: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Grain protection measures are implemented in accordance with workplace requirements</w:t>
            </w:r>
          </w:p>
        </w:tc>
      </w:tr>
      <w:tr w:rsidTr="00EF4E2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2.6</w:t>
            </w: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Labour and equipment are coordinated for timely and efficient completion of work</w:t>
            </w:r>
          </w:p>
        </w:tc>
      </w:tr>
      <w:tr w:rsidTr="00EF4E2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917B9" w:rsidP="00D917B9">
            <w:pPr>
              <w:pStyle w:val="BodyText"/>
            </w:pPr>
            <w:r w:rsidRPr="00D917B9">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rPr>
                <w:rStyle w:val="SpecialBold"/>
              </w:rPr>
              <w:t>Dismantle temporary storage facility after out loading</w:t>
            </w: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3.1</w:t>
            </w: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Procedures for dismant</w:t>
            </w:r>
            <w:r w:rsidRPr="00D917B9">
              <w:t>ling temporary storage facility, including sequencing of processes, are confirmed with qualified personnel</w:t>
            </w:r>
          </w:p>
        </w:tc>
      </w:tr>
      <w:tr w:rsidTr="00EF4E2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3.2</w:t>
            </w: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Labour and equipment requirements for dismantling temporary storage facility are organised and scheduled</w:t>
            </w:r>
          </w:p>
        </w:tc>
      </w:tr>
      <w:tr w:rsidTr="00EF4E2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3.3</w:t>
            </w: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Material is removed from storage in accordance with workplace procedures</w:t>
            </w:r>
          </w:p>
        </w:tc>
      </w:tr>
      <w:tr w:rsidTr="00EF4E2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3.4</w:t>
            </w: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Protective sheeting (floor and wall) is dismantled and folded for future use or disposed of, in accordance with workplace procedures</w:t>
            </w:r>
          </w:p>
        </w:tc>
      </w:tr>
      <w:tr w:rsidTr="00EF4E2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3.5</w:t>
            </w: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Structural components are disassembled, transported and stacked in accordance with workplace instructions</w:t>
            </w:r>
          </w:p>
        </w:tc>
      </w:tr>
      <w:tr w:rsidTr="00EF4E2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917B9">
            <w:pPr>
              <w:pStyle w:val="BodyText"/>
              <w:rPr>
                <w:lang w:val="en-NZ"/>
              </w:rPr>
            </w:pPr>
            <w:r w:rsidRPr="00D917B9">
              <w:t>3.6</w:t>
            </w:r>
          </w:p>
        </w:tc>
        <w:tc>
          <w:tcPr>
            <w:tcW w:w="0" w:type="auto"/>
            <w:tcBorders>
              <w:top w:val="nil"/>
              <w:left w:val="nil"/>
              <w:bottom w:val="nil"/>
              <w:right w:val="nil"/>
            </w:tcBorders>
            <w:tcMar>
              <w:top w:w="0" w:type="dxa"/>
              <w:left w:w="62" w:type="dxa"/>
              <w:bottom w:w="0" w:type="dxa"/>
              <w:right w:w="62" w:type="dxa"/>
            </w:tcMar>
          </w:tcPr>
          <w:p w:rsidR="00000000" w:rsidRPr="00D917B9" w:rsidP="00D917B9">
            <w:pPr>
              <w:pStyle w:val="BodyText"/>
            </w:pPr>
            <w:r w:rsidRPr="00D917B9">
              <w:t>Labour and equipment are coordinated for timely and efficient completion of work</w:t>
            </w:r>
          </w:p>
        </w:tc>
      </w:tr>
    </w:tbl>
    <w:p w:rsidR="00EF4E20" w:rsidP="00D917B9">
      <w:pPr>
        <w:pStyle w:val="BodyText"/>
      </w:pPr>
    </w:p>
    <w:p w:rsidR="00EF4E20" w:rsidP="00D917B9">
      <w:pPr>
        <w:pStyle w:val="BodyText"/>
      </w:pPr>
    </w:p>
    <w:p w:rsidR="00000000" w:rsidRPr="00D917B9" w:rsidP="00D917B9">
      <w:pPr>
        <w:pStyle w:val="Heading1"/>
      </w:pPr>
      <w:bookmarkStart w:id="7" w:name="O_798800"/>
      <w:bookmarkEnd w:id="7"/>
      <w:r w:rsidRPr="00D917B9">
        <w:t>Foundation Skills</w:t>
      </w:r>
    </w:p>
    <w:p w:rsidR="00EF4E20" w:rsidP="00EF4E20">
      <w:pPr>
        <w:pStyle w:val="BodyText"/>
      </w:pPr>
      <w:r w:rsidRPr="00D917B9">
        <w:t>Foundation skills essent</w:t>
      </w:r>
      <w:r w:rsidRPr="00D917B9">
        <w:t>ial to performance are explicit in the performance criteria of this unit of competency.</w:t>
      </w:r>
    </w:p>
    <w:p w:rsidR="00000000" w:rsidRPr="00D917B9" w:rsidP="00D917B9">
      <w:pPr>
        <w:pStyle w:val="Heading1"/>
      </w:pPr>
      <w:bookmarkStart w:id="8" w:name="O_798801"/>
      <w:bookmarkEnd w:id="8"/>
      <w:r w:rsidRPr="00D917B9">
        <w:t>Range of Conditions</w:t>
      </w:r>
    </w:p>
    <w:p w:rsidR="00000000" w:rsidRPr="00D917B9" w:rsidP="00EF4E20">
      <w:pPr>
        <w:pStyle w:val="BodyText"/>
      </w:pPr>
      <w:r w:rsidRPr="00D917B9">
        <w:t>Range is restricted to essential operating conditions and any other variables essential to the work environment.</w:t>
      </w:r>
    </w:p>
    <w:p w:rsidR="00EF4E20" w:rsidP="00EF4E20">
      <w:pPr>
        <w:pStyle w:val="BodyText"/>
      </w:pPr>
      <w:r w:rsidRPr="00D917B9">
        <w:t>Non-essential con</w:t>
      </w:r>
      <w:r w:rsidRPr="00D917B9">
        <w:t>ditions can be found in the Companion Volume Implementation Guide.</w:t>
      </w:r>
    </w:p>
    <w:p w:rsidR="00000000" w:rsidRPr="00D917B9" w:rsidP="00D917B9">
      <w:pPr>
        <w:pStyle w:val="Heading1"/>
      </w:pPr>
      <w:bookmarkStart w:id="9" w:name="O_798802"/>
      <w:bookmarkEnd w:id="9"/>
      <w:r w:rsidRPr="00D917B9">
        <w:t>Unit Mapping Information</w:t>
      </w:r>
    </w:p>
    <w:p w:rsidR="00EF4E20" w:rsidP="00EF4E20">
      <w:pPr>
        <w:pStyle w:val="BodyText"/>
      </w:pPr>
      <w:r w:rsidRPr="00D917B9">
        <w:t>This unit replaces and is equivalent to TLIL4021A Coordinate the erection and dismantling of temporary storage facilities.</w:t>
      </w:r>
    </w:p>
    <w:p w:rsidR="00000000" w:rsidRPr="00D917B9" w:rsidP="00D917B9">
      <w:pPr>
        <w:pStyle w:val="Heading1"/>
      </w:pPr>
      <w:bookmarkStart w:id="10" w:name="O_798809"/>
      <w:bookmarkEnd w:id="10"/>
      <w:r w:rsidRPr="00D917B9">
        <w:t>Links</w:t>
      </w:r>
    </w:p>
    <w:p w:rsidR="00000000" w:rsidRPr="00D917B9" w:rsidP="00EF4E20">
      <w:pPr>
        <w:pStyle w:val="BodyText"/>
      </w:pPr>
      <w:r w:rsidRPr="00D917B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F34B5">
        <w:rPr>
          <w:rStyle w:val="Hyperlink"/>
        </w:rPr>
        <w:t>https://vetnet.gov.au/Pages/TrainingDocs.aspx?q=df441c6e-213d-43e3-874c-0b3f7036d851</w:t>
      </w:r>
      <w:r>
        <w:fldChar w:fldCharType="end"/>
      </w:r>
    </w:p>
    <w:p w:rsidR="00000000" w:rsidRPr="00D917B9" w:rsidP="00D917B9"/>
    <w:sectPr w:rsidSect="00D917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7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7B9" w:rsidRPr="00EF4E20" w:rsidP="00EF4E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7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20" w:rsidP="00D917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4E20" w:rsidP="00D917B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F4E20" w:rsidP="00D917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7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17B9" w:rsidRPr="00EF4E20" w:rsidP="00EF4E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7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20" w:rsidRPr="002D2AF8" w:rsidP="00D917B9">
    <w:pPr>
      <w:pStyle w:val="Header"/>
      <w:framePr w:wrap="around"/>
    </w:pPr>
    <w:r>
      <w:fldChar w:fldCharType="begin"/>
    </w:r>
    <w:r>
      <w:instrText xml:space="preserve"> TITLE   \* MERGEFORMAT </w:instrText>
    </w:r>
    <w:r>
      <w:fldChar w:fldCharType="separate"/>
    </w:r>
    <w:r>
      <w:t>TLIL4021 Coordinate the erection and dismantling of temporary storage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EF4E20" w:rsidP="00D917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7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17B9"/>
    <w:pPr>
      <w:spacing w:before="360" w:after="60"/>
      <w:outlineLvl w:val="0"/>
    </w:pPr>
    <w:rPr>
      <w:sz w:val="32"/>
    </w:rPr>
  </w:style>
  <w:style w:type="paragraph" w:styleId="Heading2">
    <w:name w:val="heading 2"/>
    <w:basedOn w:val="HeadingBase"/>
    <w:next w:val="BodyText"/>
    <w:link w:val="Heading2Char"/>
    <w:qFormat/>
    <w:rsid w:val="00D917B9"/>
    <w:pPr>
      <w:keepLines/>
      <w:spacing w:before="240" w:after="120"/>
      <w:outlineLvl w:val="1"/>
    </w:pPr>
    <w:rPr>
      <w:sz w:val="28"/>
      <w:szCs w:val="40"/>
    </w:rPr>
  </w:style>
  <w:style w:type="paragraph" w:styleId="Heading3">
    <w:name w:val="heading 3"/>
    <w:basedOn w:val="HeadingBase"/>
    <w:next w:val="BodyText"/>
    <w:link w:val="Heading3Char"/>
    <w:qFormat/>
    <w:rsid w:val="00D917B9"/>
    <w:pPr>
      <w:spacing w:before="180" w:after="120"/>
      <w:outlineLvl w:val="2"/>
    </w:pPr>
    <w:rPr>
      <w:spacing w:val="-10"/>
      <w:kern w:val="32"/>
    </w:rPr>
  </w:style>
  <w:style w:type="paragraph" w:styleId="Heading4">
    <w:name w:val="heading 4"/>
    <w:basedOn w:val="HeadingBase"/>
    <w:next w:val="BodyText"/>
    <w:link w:val="Heading4Char"/>
    <w:qFormat/>
    <w:rsid w:val="00D917B9"/>
    <w:pPr>
      <w:spacing w:before="160" w:after="120"/>
      <w:outlineLvl w:val="3"/>
    </w:pPr>
    <w:rPr>
      <w:sz w:val="22"/>
    </w:rPr>
  </w:style>
  <w:style w:type="paragraph" w:styleId="Heading5">
    <w:name w:val="heading 5"/>
    <w:basedOn w:val="HeadingBase"/>
    <w:next w:val="Normal"/>
    <w:link w:val="Heading5Char"/>
    <w:qFormat/>
    <w:rsid w:val="00D917B9"/>
    <w:pPr>
      <w:spacing w:before="80"/>
      <w:outlineLvl w:val="4"/>
    </w:pPr>
    <w:rPr>
      <w:color w:val="918585"/>
      <w:sz w:val="20"/>
    </w:rPr>
  </w:style>
  <w:style w:type="paragraph" w:styleId="Heading6">
    <w:name w:val="heading 6"/>
    <w:basedOn w:val="HeadingBase"/>
    <w:next w:val="Normal"/>
    <w:link w:val="Heading6Char"/>
    <w:qFormat/>
    <w:rsid w:val="00D917B9"/>
    <w:pPr>
      <w:spacing w:before="60"/>
      <w:outlineLvl w:val="5"/>
    </w:pPr>
    <w:rPr>
      <w:color w:val="918585"/>
      <w:sz w:val="20"/>
    </w:rPr>
  </w:style>
  <w:style w:type="paragraph" w:styleId="Heading7">
    <w:name w:val="heading 7"/>
    <w:basedOn w:val="Normal"/>
    <w:next w:val="Normal"/>
    <w:link w:val="Heading7Char"/>
    <w:qFormat/>
    <w:rsid w:val="00D917B9"/>
    <w:pPr>
      <w:ind w:left="720"/>
      <w:outlineLvl w:val="6"/>
    </w:pPr>
    <w:rPr>
      <w:i/>
    </w:rPr>
  </w:style>
  <w:style w:type="paragraph" w:styleId="Heading8">
    <w:name w:val="heading 8"/>
    <w:basedOn w:val="Normal"/>
    <w:next w:val="Normal"/>
    <w:link w:val="Heading8Char"/>
    <w:qFormat/>
    <w:rsid w:val="00D917B9"/>
    <w:pPr>
      <w:ind w:left="720"/>
      <w:outlineLvl w:val="7"/>
    </w:pPr>
    <w:rPr>
      <w:i/>
    </w:rPr>
  </w:style>
  <w:style w:type="paragraph" w:styleId="Heading9">
    <w:name w:val="heading 9"/>
    <w:basedOn w:val="Normal"/>
    <w:next w:val="Normal"/>
    <w:link w:val="Heading9Char"/>
    <w:qFormat/>
    <w:rsid w:val="00D917B9"/>
    <w:pPr>
      <w:ind w:left="720"/>
      <w:outlineLvl w:val="8"/>
    </w:pPr>
    <w:rPr>
      <w:i/>
    </w:rPr>
  </w:style>
  <w:style w:type="character" w:default="1" w:styleId="DefaultParagraphFont">
    <w:name w:val="Default Paragraph Font"/>
    <w:uiPriority w:val="1"/>
    <w:unhideWhenUsed/>
    <w:rsid w:val="00D917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7B9"/>
  </w:style>
  <w:style w:type="character" w:customStyle="1" w:styleId="Heading1Char">
    <w:name w:val="Heading 1 Char"/>
    <w:basedOn w:val="DefaultParagraphFont"/>
    <w:link w:val="Heading1"/>
    <w:rsid w:val="00D917B9"/>
    <w:rPr>
      <w:rFonts w:ascii="Times New Roman" w:eastAsia="Times New Roman" w:hAnsi="Times New Roman" w:cs="Times New Roman"/>
      <w:b/>
      <w:sz w:val="32"/>
      <w:szCs w:val="20"/>
      <w:lang w:eastAsia="en-US"/>
    </w:rPr>
  </w:style>
  <w:style w:type="paragraph" w:styleId="BodyText">
    <w:name w:val="Body Text"/>
    <w:basedOn w:val="Normal"/>
    <w:link w:val="BodyTextChar"/>
    <w:rsid w:val="00D917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17B9"/>
    <w:rPr>
      <w:rFonts w:ascii="Times New Roman" w:eastAsia="Times New Roman" w:hAnsi="Times New Roman" w:cs="Times New Roman"/>
      <w:sz w:val="24"/>
      <w:lang w:eastAsia="en-US"/>
    </w:rPr>
  </w:style>
  <w:style w:type="character" w:customStyle="1" w:styleId="SpecialBold">
    <w:name w:val="Special Bold"/>
    <w:basedOn w:val="DefaultParagraphFont"/>
    <w:rsid w:val="00D917B9"/>
    <w:rPr>
      <w:b/>
      <w:spacing w:val="0"/>
    </w:rPr>
  </w:style>
  <w:style w:type="paragraph" w:customStyle="1" w:styleId="SuperHeading">
    <w:name w:val="SuperHeading"/>
    <w:basedOn w:val="Normal"/>
    <w:rsid w:val="00D917B9"/>
    <w:pPr>
      <w:spacing w:before="240" w:after="120"/>
      <w:outlineLvl w:val="0"/>
    </w:pPr>
    <w:rPr>
      <w:rFonts w:ascii="Times New Roman" w:hAnsi="Times New Roman"/>
      <w:b/>
      <w:sz w:val="32"/>
    </w:rPr>
  </w:style>
  <w:style w:type="paragraph" w:customStyle="1" w:styleId="AllowPageBreak">
    <w:name w:val="AllowPageBreak"/>
    <w:rsid w:val="00D917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17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7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7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7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7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7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17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17B9"/>
    <w:rPr>
      <w:rFonts w:ascii="Courier New" w:eastAsia="Times New Roman" w:hAnsi="Courier New" w:cs="Times New Roman"/>
      <w:i/>
      <w:szCs w:val="20"/>
      <w:lang w:eastAsia="en-US"/>
    </w:rPr>
  </w:style>
  <w:style w:type="paragraph" w:customStyle="1" w:styleId="HeadingBase">
    <w:name w:val="Heading Base"/>
    <w:rsid w:val="00D917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7B9"/>
    <w:pPr>
      <w:tabs>
        <w:tab w:val="right" w:leader="dot" w:pos="9072"/>
      </w:tabs>
      <w:ind w:left="567"/>
    </w:pPr>
    <w:rPr>
      <w:szCs w:val="22"/>
    </w:rPr>
  </w:style>
  <w:style w:type="paragraph" w:customStyle="1" w:styleId="TOCBase">
    <w:name w:val="TOC Base"/>
    <w:rsid w:val="00D917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7B9"/>
    <w:pPr>
      <w:tabs>
        <w:tab w:val="right" w:leader="dot" w:pos="9072"/>
      </w:tabs>
      <w:spacing w:before="40" w:after="40"/>
      <w:ind w:left="284"/>
    </w:pPr>
    <w:rPr>
      <w:rFonts w:ascii="Times New Roman" w:hAnsi="Times New Roman"/>
    </w:rPr>
  </w:style>
  <w:style w:type="paragraph" w:styleId="TOC1">
    <w:name w:val="toc 1"/>
    <w:basedOn w:val="TOCBase"/>
    <w:next w:val="Normal"/>
    <w:rsid w:val="00D917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17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7B9"/>
    <w:rPr>
      <w:rFonts w:ascii="Times New Roman" w:eastAsia="Times New Roman" w:hAnsi="Times New Roman" w:cs="Times New Roman"/>
      <w:sz w:val="16"/>
      <w:lang w:eastAsia="en-US"/>
    </w:rPr>
  </w:style>
  <w:style w:type="paragraph" w:styleId="Title">
    <w:name w:val="Title"/>
    <w:basedOn w:val="HeadingBase"/>
    <w:link w:val="TitleChar"/>
    <w:qFormat/>
    <w:rsid w:val="00D917B9"/>
    <w:pPr>
      <w:spacing w:before="5040"/>
      <w:jc w:val="center"/>
    </w:pPr>
    <w:rPr>
      <w:sz w:val="48"/>
      <w:szCs w:val="72"/>
      <w:lang w:val="en-US"/>
    </w:rPr>
  </w:style>
  <w:style w:type="character" w:customStyle="1" w:styleId="TitleChar">
    <w:name w:val="Title Char"/>
    <w:basedOn w:val="DefaultParagraphFont"/>
    <w:link w:val="Title"/>
    <w:rsid w:val="00D917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7B9"/>
    <w:pPr>
      <w:tabs>
        <w:tab w:val="left" w:pos="3600"/>
        <w:tab w:val="left" w:pos="3958"/>
      </w:tabs>
    </w:pPr>
  </w:style>
  <w:style w:type="paragraph" w:styleId="List">
    <w:name w:val="List"/>
    <w:basedOn w:val="BodyText"/>
    <w:next w:val="BodyText"/>
    <w:rsid w:val="00D917B9"/>
    <w:pPr>
      <w:tabs>
        <w:tab w:val="left" w:pos="340"/>
      </w:tabs>
      <w:spacing w:before="60" w:after="60"/>
      <w:ind w:left="340" w:hanging="340"/>
    </w:pPr>
  </w:style>
  <w:style w:type="paragraph" w:styleId="ListBullet">
    <w:name w:val="List Bullet"/>
    <w:basedOn w:val="List"/>
    <w:rsid w:val="00D917B9"/>
    <w:pPr>
      <w:numPr>
        <w:numId w:val="10"/>
      </w:numPr>
      <w:tabs>
        <w:tab w:val="clear" w:pos="340"/>
      </w:tabs>
      <w:spacing w:before="40" w:after="40"/>
    </w:pPr>
  </w:style>
  <w:style w:type="paragraph" w:customStyle="1" w:styleId="Note">
    <w:name w:val="Note"/>
    <w:basedOn w:val="BodyText"/>
    <w:rsid w:val="00D917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17B9"/>
    <w:pPr>
      <w:framePr w:wrap="auto" w:hAnchor="text" w:y="6049"/>
    </w:pPr>
    <w:rPr>
      <w:color w:val="000000"/>
      <w:sz w:val="40"/>
    </w:rPr>
  </w:style>
  <w:style w:type="paragraph" w:customStyle="1" w:styleId="TOCTitle">
    <w:name w:val="TOCTitle"/>
    <w:basedOn w:val="Heading1"/>
    <w:rsid w:val="00D917B9"/>
    <w:pPr>
      <w:spacing w:after="240"/>
      <w:jc w:val="center"/>
      <w:outlineLvl w:val="9"/>
    </w:pPr>
    <w:rPr>
      <w:caps/>
    </w:rPr>
  </w:style>
  <w:style w:type="paragraph" w:customStyle="1" w:styleId="Version">
    <w:name w:val="Version"/>
    <w:rsid w:val="00D917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17B9"/>
    <w:pPr>
      <w:numPr>
        <w:numId w:val="11"/>
      </w:numPr>
      <w:tabs>
        <w:tab w:val="clear" w:pos="680"/>
      </w:tabs>
    </w:pPr>
  </w:style>
  <w:style w:type="paragraph" w:styleId="Index1">
    <w:name w:val="index 1"/>
    <w:basedOn w:val="Normal"/>
    <w:next w:val="Normal"/>
    <w:semiHidden/>
    <w:rsid w:val="00D917B9"/>
    <w:pPr>
      <w:keepNext w:val="0"/>
      <w:tabs>
        <w:tab w:val="right" w:pos="4176"/>
      </w:tabs>
      <w:ind w:left="198" w:hanging="198"/>
    </w:pPr>
    <w:rPr>
      <w:rFonts w:ascii="Garamond" w:hAnsi="Garamond"/>
    </w:rPr>
  </w:style>
  <w:style w:type="paragraph" w:styleId="IndexHeading">
    <w:name w:val="index heading"/>
    <w:basedOn w:val="Normal"/>
    <w:next w:val="Index1"/>
    <w:semiHidden/>
    <w:rsid w:val="00D917B9"/>
    <w:pPr>
      <w:spacing w:before="120" w:after="120"/>
    </w:pPr>
    <w:rPr>
      <w:rFonts w:ascii="Arial" w:hAnsi="Arial"/>
      <w:b/>
      <w:color w:val="918585"/>
      <w:sz w:val="24"/>
    </w:rPr>
  </w:style>
  <w:style w:type="paragraph" w:styleId="Header">
    <w:name w:val="header"/>
    <w:basedOn w:val="Normal"/>
    <w:link w:val="HeaderChar"/>
    <w:rsid w:val="00D917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7B9"/>
    <w:rPr>
      <w:rFonts w:ascii="Times New Roman" w:eastAsia="Times New Roman" w:hAnsi="Times New Roman" w:cs="Times New Roman"/>
      <w:sz w:val="16"/>
      <w:szCs w:val="20"/>
      <w:lang w:val="en-GB" w:eastAsia="en-US"/>
    </w:rPr>
  </w:style>
  <w:style w:type="paragraph" w:customStyle="1" w:styleId="Chapter">
    <w:name w:val="Chapter"/>
    <w:basedOn w:val="Normal"/>
    <w:rsid w:val="00D917B9"/>
    <w:pPr>
      <w:spacing w:before="240"/>
    </w:pPr>
    <w:rPr>
      <w:rFonts w:ascii="Times New Roman" w:hAnsi="Times New Roman"/>
      <w:smallCaps/>
      <w:spacing w:val="80"/>
      <w:sz w:val="28"/>
    </w:rPr>
  </w:style>
  <w:style w:type="paragraph" w:customStyle="1" w:styleId="InChapter">
    <w:name w:val="InChapter"/>
    <w:basedOn w:val="Heading3"/>
    <w:rsid w:val="00D917B9"/>
    <w:pPr>
      <w:spacing w:after="240"/>
      <w:outlineLvl w:val="9"/>
    </w:pPr>
    <w:rPr>
      <w:noProof/>
    </w:rPr>
  </w:style>
  <w:style w:type="paragraph" w:styleId="Index2">
    <w:name w:val="index 2"/>
    <w:basedOn w:val="Normal"/>
    <w:next w:val="Normal"/>
    <w:semiHidden/>
    <w:rsid w:val="00D917B9"/>
    <w:pPr>
      <w:tabs>
        <w:tab w:val="right" w:pos="4176"/>
      </w:tabs>
      <w:ind w:left="568" w:hanging="284"/>
    </w:pPr>
    <w:rPr>
      <w:rFonts w:ascii="Garamond" w:hAnsi="Garamond"/>
    </w:rPr>
  </w:style>
  <w:style w:type="paragraph" w:customStyle="1" w:styleId="Byline">
    <w:name w:val="Byline"/>
    <w:rsid w:val="00D917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7B9"/>
    <w:pPr>
      <w:tabs>
        <w:tab w:val="clear" w:pos="3600"/>
        <w:tab w:val="clear" w:pos="3958"/>
      </w:tabs>
      <w:jc w:val="right"/>
    </w:pPr>
  </w:style>
  <w:style w:type="character" w:styleId="Emphasis">
    <w:name w:val="Emphasis"/>
    <w:basedOn w:val="DefaultParagraphFont"/>
    <w:qFormat/>
    <w:rsid w:val="00D917B9"/>
    <w:rPr>
      <w:i/>
    </w:rPr>
  </w:style>
  <w:style w:type="paragraph" w:styleId="Caption">
    <w:name w:val="caption"/>
    <w:basedOn w:val="BodyText"/>
    <w:next w:val="Normal"/>
    <w:qFormat/>
    <w:rsid w:val="00D917B9"/>
    <w:pPr>
      <w:framePr w:w="2268" w:hSpace="181" w:vSpace="181" w:wrap="around" w:vAnchor="text" w:hAnchor="page" w:x="1135" w:y="285" w:anchorLock="1"/>
    </w:pPr>
    <w:rPr>
      <w:i/>
    </w:rPr>
  </w:style>
  <w:style w:type="paragraph" w:customStyle="1" w:styleId="MiniTOCTitle">
    <w:name w:val="MiniTOCTitle"/>
    <w:basedOn w:val="Heading4"/>
    <w:rsid w:val="00D917B9"/>
    <w:pPr>
      <w:spacing w:before="240"/>
      <w:outlineLvl w:val="9"/>
    </w:pPr>
    <w:rPr>
      <w:noProof/>
      <w:sz w:val="24"/>
    </w:rPr>
  </w:style>
  <w:style w:type="paragraph" w:customStyle="1" w:styleId="MiniTOCItem">
    <w:name w:val="MiniTOCItem"/>
    <w:basedOn w:val="ListBullet"/>
    <w:rsid w:val="00D917B9"/>
    <w:pPr>
      <w:numPr>
        <w:numId w:val="0"/>
      </w:numPr>
      <w:tabs>
        <w:tab w:val="right" w:leader="dot" w:pos="6521"/>
      </w:tabs>
      <w:spacing w:before="0" w:after="0"/>
    </w:pPr>
  </w:style>
  <w:style w:type="paragraph" w:customStyle="1" w:styleId="TOFTitle">
    <w:name w:val="TOFTitle"/>
    <w:basedOn w:val="TOCTitle"/>
    <w:rsid w:val="00D917B9"/>
  </w:style>
  <w:style w:type="paragraph" w:styleId="TableofFigures">
    <w:name w:val="table of figures"/>
    <w:basedOn w:val="Normal"/>
    <w:next w:val="Normal"/>
    <w:semiHidden/>
    <w:rsid w:val="00D917B9"/>
    <w:pPr>
      <w:tabs>
        <w:tab w:val="right" w:leader="dot" w:pos="9072"/>
      </w:tabs>
      <w:ind w:left="970" w:hanging="403"/>
    </w:pPr>
    <w:rPr>
      <w:rFonts w:ascii="Times New Roman" w:hAnsi="Times New Roman"/>
      <w:b/>
    </w:rPr>
  </w:style>
  <w:style w:type="paragraph" w:styleId="ListNumber">
    <w:name w:val="List Number"/>
    <w:basedOn w:val="List"/>
    <w:rsid w:val="00D917B9"/>
    <w:pPr>
      <w:numPr>
        <w:numId w:val="13"/>
      </w:numPr>
      <w:tabs>
        <w:tab w:val="clear" w:pos="340"/>
      </w:tabs>
    </w:pPr>
  </w:style>
  <w:style w:type="character" w:customStyle="1" w:styleId="WingdingSymbols">
    <w:name w:val="Wingding Symbols"/>
    <w:rsid w:val="00D917B9"/>
    <w:rPr>
      <w:rFonts w:ascii="Wingdings" w:hAnsi="Wingdings"/>
    </w:rPr>
  </w:style>
  <w:style w:type="paragraph" w:customStyle="1" w:styleId="TableHeading">
    <w:name w:val="Table Heading"/>
    <w:basedOn w:val="HeadingBase"/>
    <w:rsid w:val="00D917B9"/>
    <w:pPr>
      <w:keepLines/>
      <w:pBdr>
        <w:bottom w:val="single" w:sz="6" w:space="1" w:color="918585"/>
      </w:pBdr>
      <w:spacing w:before="240"/>
    </w:pPr>
  </w:style>
  <w:style w:type="character" w:customStyle="1" w:styleId="HotSpot">
    <w:name w:val="HotSpot"/>
    <w:rsid w:val="00D917B9"/>
    <w:rPr>
      <w:color w:val="0033CC"/>
      <w:u w:val="none"/>
    </w:rPr>
  </w:style>
  <w:style w:type="paragraph" w:customStyle="1" w:styleId="BodyTextRight">
    <w:name w:val="Body Text Right"/>
    <w:basedOn w:val="BodyText"/>
    <w:rsid w:val="00D917B9"/>
    <w:pPr>
      <w:spacing w:before="0" w:after="0"/>
      <w:jc w:val="right"/>
    </w:pPr>
  </w:style>
  <w:style w:type="paragraph" w:styleId="Index3">
    <w:name w:val="index 3"/>
    <w:basedOn w:val="ListNumber2"/>
    <w:next w:val="Normal"/>
    <w:semiHidden/>
    <w:rsid w:val="00D917B9"/>
    <w:pPr>
      <w:numPr>
        <w:numId w:val="0"/>
      </w:numPr>
      <w:tabs>
        <w:tab w:val="right" w:leader="dot" w:pos="4176"/>
      </w:tabs>
    </w:pPr>
  </w:style>
  <w:style w:type="paragraph" w:styleId="ListNumber2">
    <w:name w:val="List Number 2"/>
    <w:basedOn w:val="List2"/>
    <w:rsid w:val="00D917B9"/>
    <w:pPr>
      <w:numPr>
        <w:numId w:val="8"/>
      </w:numPr>
      <w:tabs>
        <w:tab w:val="clear" w:pos="1060"/>
      </w:tabs>
    </w:pPr>
  </w:style>
  <w:style w:type="paragraph" w:customStyle="1" w:styleId="MarginNote">
    <w:name w:val="Margin Note"/>
    <w:basedOn w:val="BodyText"/>
    <w:rsid w:val="00D917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7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7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17B9"/>
    <w:rPr>
      <w:sz w:val="32"/>
    </w:rPr>
  </w:style>
  <w:style w:type="paragraph" w:customStyle="1" w:styleId="HeadingProcedure">
    <w:name w:val="Heading Procedure"/>
    <w:basedOn w:val="HeadingBase"/>
    <w:next w:val="Normal"/>
    <w:rsid w:val="00D917B9"/>
    <w:pPr>
      <w:tabs>
        <w:tab w:val="left" w:pos="0"/>
      </w:tabs>
      <w:spacing w:before="120" w:after="60"/>
    </w:pPr>
    <w:rPr>
      <w:i/>
      <w:color w:val="918585"/>
      <w:sz w:val="22"/>
    </w:rPr>
  </w:style>
  <w:style w:type="paragraph" w:customStyle="1" w:styleId="TableBodyText">
    <w:name w:val="Table Body Text"/>
    <w:basedOn w:val="BodyText"/>
    <w:rsid w:val="00D917B9"/>
    <w:pPr>
      <w:spacing w:before="60" w:after="60"/>
    </w:pPr>
  </w:style>
  <w:style w:type="paragraph" w:styleId="ListContinue">
    <w:name w:val="List Continue"/>
    <w:basedOn w:val="List"/>
    <w:rsid w:val="00D917B9"/>
    <w:pPr>
      <w:ind w:firstLine="0"/>
    </w:pPr>
  </w:style>
  <w:style w:type="paragraph" w:customStyle="1" w:styleId="ListNote">
    <w:name w:val="List Note"/>
    <w:basedOn w:val="List"/>
    <w:rsid w:val="00D917B9"/>
    <w:pPr>
      <w:pBdr>
        <w:top w:val="single" w:sz="6" w:space="2" w:color="918585"/>
        <w:bottom w:val="single" w:sz="6" w:space="2" w:color="918585"/>
      </w:pBdr>
      <w:tabs>
        <w:tab w:val="left" w:pos="1021"/>
      </w:tabs>
      <w:ind w:firstLine="0"/>
    </w:pPr>
  </w:style>
  <w:style w:type="paragraph" w:customStyle="1" w:styleId="Warning">
    <w:name w:val="Warning"/>
    <w:basedOn w:val="BodyText"/>
    <w:rsid w:val="00D917B9"/>
    <w:pPr>
      <w:shd w:val="clear" w:color="auto" w:fill="D9D9D9"/>
      <w:tabs>
        <w:tab w:val="left" w:pos="992"/>
      </w:tabs>
      <w:ind w:left="119" w:right="119"/>
    </w:pPr>
    <w:rPr>
      <w:sz w:val="20"/>
    </w:rPr>
  </w:style>
  <w:style w:type="paragraph" w:customStyle="1" w:styleId="MarginIcons">
    <w:name w:val="Margin Icons"/>
    <w:basedOn w:val="BodyText"/>
    <w:rsid w:val="00D917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7B9"/>
    <w:rPr>
      <w:rFonts w:ascii="Courier New" w:hAnsi="Courier New"/>
    </w:rPr>
  </w:style>
  <w:style w:type="paragraph" w:customStyle="1" w:styleId="NoteBullet">
    <w:name w:val="Note Bullet"/>
    <w:basedOn w:val="Note"/>
    <w:rsid w:val="00D917B9"/>
    <w:pPr>
      <w:tabs>
        <w:tab w:val="clear" w:pos="680"/>
      </w:tabs>
      <w:spacing w:before="60" w:after="60"/>
    </w:pPr>
  </w:style>
  <w:style w:type="paragraph" w:customStyle="1" w:styleId="SubHeading2">
    <w:name w:val="SubHeading2"/>
    <w:basedOn w:val="HeadingBase"/>
    <w:rsid w:val="00D917B9"/>
    <w:pPr>
      <w:spacing w:before="240" w:after="60"/>
    </w:pPr>
    <w:rPr>
      <w:sz w:val="20"/>
    </w:rPr>
  </w:style>
  <w:style w:type="paragraph" w:customStyle="1" w:styleId="SubHeading1">
    <w:name w:val="SubHeading1"/>
    <w:basedOn w:val="HeadingBase"/>
    <w:rsid w:val="00D917B9"/>
    <w:pPr>
      <w:spacing w:before="240" w:after="60"/>
    </w:pPr>
    <w:rPr>
      <w:color w:val="918585"/>
      <w:sz w:val="22"/>
    </w:rPr>
  </w:style>
  <w:style w:type="paragraph" w:customStyle="1" w:styleId="SideHeading">
    <w:name w:val="Side Heading"/>
    <w:basedOn w:val="HeadingBase"/>
    <w:rsid w:val="00D917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7B9"/>
    <w:pPr>
      <w:numPr>
        <w:numId w:val="9"/>
      </w:numPr>
    </w:pPr>
  </w:style>
  <w:style w:type="paragraph" w:styleId="PlainText">
    <w:name w:val="Plain Text"/>
    <w:basedOn w:val="Normal"/>
    <w:link w:val="PlainTextChar"/>
    <w:rsid w:val="00D917B9"/>
    <w:rPr>
      <w:sz w:val="20"/>
    </w:rPr>
  </w:style>
  <w:style w:type="character" w:customStyle="1" w:styleId="PlainTextChar">
    <w:name w:val="Plain Text Char"/>
    <w:basedOn w:val="DefaultParagraphFont"/>
    <w:link w:val="PlainText"/>
    <w:rsid w:val="00D917B9"/>
    <w:rPr>
      <w:rFonts w:ascii="Courier New" w:eastAsia="Times New Roman" w:hAnsi="Courier New" w:cs="Times New Roman"/>
      <w:sz w:val="20"/>
      <w:szCs w:val="20"/>
      <w:lang w:eastAsia="en-US"/>
    </w:rPr>
  </w:style>
  <w:style w:type="character" w:customStyle="1" w:styleId="MenuOption">
    <w:name w:val="Menu Option"/>
    <w:basedOn w:val="DefaultParagraphFont"/>
    <w:rsid w:val="00D917B9"/>
    <w:rPr>
      <w:b/>
      <w:smallCaps/>
    </w:rPr>
  </w:style>
  <w:style w:type="paragraph" w:customStyle="1" w:styleId="TableListNumber">
    <w:name w:val="Table List Number"/>
    <w:basedOn w:val="ListNumber"/>
    <w:rsid w:val="00D917B9"/>
    <w:pPr>
      <w:numPr>
        <w:numId w:val="0"/>
      </w:numPr>
    </w:pPr>
  </w:style>
  <w:style w:type="paragraph" w:styleId="TOC4">
    <w:name w:val="toc 4"/>
    <w:basedOn w:val="TOCBase"/>
    <w:next w:val="Normal"/>
    <w:semiHidden/>
    <w:rsid w:val="00D917B9"/>
    <w:pPr>
      <w:tabs>
        <w:tab w:val="right" w:leader="dot" w:pos="9071"/>
      </w:tabs>
      <w:ind w:left="1701"/>
    </w:pPr>
  </w:style>
  <w:style w:type="paragraph" w:customStyle="1" w:styleId="ListAlpha">
    <w:name w:val="List Alpha"/>
    <w:basedOn w:val="List"/>
    <w:rsid w:val="00D917B9"/>
    <w:pPr>
      <w:numPr>
        <w:numId w:val="7"/>
      </w:numPr>
    </w:pPr>
  </w:style>
  <w:style w:type="paragraph" w:customStyle="1" w:styleId="ListAlpha2">
    <w:name w:val="List Alpha 2"/>
    <w:basedOn w:val="List2"/>
    <w:rsid w:val="00D917B9"/>
    <w:pPr>
      <w:numPr>
        <w:numId w:val="6"/>
      </w:numPr>
    </w:pPr>
  </w:style>
  <w:style w:type="paragraph" w:styleId="List2">
    <w:name w:val="List 2"/>
    <w:basedOn w:val="BodyText"/>
    <w:rsid w:val="00D917B9"/>
    <w:pPr>
      <w:tabs>
        <w:tab w:val="left" w:pos="680"/>
      </w:tabs>
      <w:spacing w:before="60" w:after="60"/>
      <w:ind w:left="680" w:hanging="340"/>
    </w:pPr>
  </w:style>
  <w:style w:type="paragraph" w:styleId="List3">
    <w:name w:val="List 3"/>
    <w:basedOn w:val="BodyText"/>
    <w:rsid w:val="00D917B9"/>
    <w:pPr>
      <w:tabs>
        <w:tab w:val="left" w:pos="1021"/>
      </w:tabs>
      <w:spacing w:before="60" w:after="60"/>
      <w:ind w:left="1020" w:hanging="340"/>
    </w:pPr>
  </w:style>
  <w:style w:type="paragraph" w:styleId="List4">
    <w:name w:val="List 4"/>
    <w:basedOn w:val="BodyText"/>
    <w:rsid w:val="00D917B9"/>
    <w:pPr>
      <w:tabs>
        <w:tab w:val="left" w:pos="1361"/>
      </w:tabs>
      <w:spacing w:before="60" w:after="60"/>
      <w:ind w:left="1361" w:hanging="340"/>
    </w:pPr>
  </w:style>
  <w:style w:type="paragraph" w:styleId="List5">
    <w:name w:val="List 5"/>
    <w:basedOn w:val="BodyText"/>
    <w:rsid w:val="00D917B9"/>
    <w:pPr>
      <w:tabs>
        <w:tab w:val="left" w:pos="1701"/>
      </w:tabs>
      <w:spacing w:before="60" w:after="60"/>
      <w:ind w:left="1701" w:hanging="340"/>
    </w:pPr>
  </w:style>
  <w:style w:type="paragraph" w:styleId="ListBullet3">
    <w:name w:val="List Bullet 3"/>
    <w:basedOn w:val="List3"/>
    <w:rsid w:val="00D917B9"/>
    <w:pPr>
      <w:numPr>
        <w:numId w:val="12"/>
      </w:numPr>
      <w:tabs>
        <w:tab w:val="clear" w:pos="1021"/>
      </w:tabs>
      <w:ind w:left="1037" w:hanging="357"/>
    </w:pPr>
  </w:style>
  <w:style w:type="paragraph" w:styleId="ListBullet4">
    <w:name w:val="List Bullet 4"/>
    <w:basedOn w:val="List4"/>
    <w:rsid w:val="00D917B9"/>
    <w:pPr>
      <w:numPr>
        <w:numId w:val="1"/>
      </w:numPr>
      <w:tabs>
        <w:tab w:val="clear" w:pos="1361"/>
      </w:tabs>
    </w:pPr>
  </w:style>
  <w:style w:type="paragraph" w:styleId="ListBullet5">
    <w:name w:val="List Bullet 5"/>
    <w:basedOn w:val="List5"/>
    <w:rsid w:val="00D917B9"/>
    <w:pPr>
      <w:numPr>
        <w:numId w:val="2"/>
      </w:numPr>
    </w:pPr>
  </w:style>
  <w:style w:type="paragraph" w:styleId="ListContinue2">
    <w:name w:val="List Continue 2"/>
    <w:basedOn w:val="List2"/>
    <w:rsid w:val="00D917B9"/>
    <w:pPr>
      <w:ind w:firstLine="0"/>
    </w:pPr>
  </w:style>
  <w:style w:type="paragraph" w:styleId="ListContinue3">
    <w:name w:val="List Continue 3"/>
    <w:basedOn w:val="List3"/>
    <w:rsid w:val="00D917B9"/>
    <w:pPr>
      <w:ind w:left="1021" w:firstLine="0"/>
    </w:pPr>
  </w:style>
  <w:style w:type="paragraph" w:styleId="ListContinue4">
    <w:name w:val="List Continue 4"/>
    <w:basedOn w:val="List4"/>
    <w:rsid w:val="00D917B9"/>
    <w:pPr>
      <w:ind w:firstLine="0"/>
    </w:pPr>
  </w:style>
  <w:style w:type="paragraph" w:styleId="ListContinue5">
    <w:name w:val="List Continue 5"/>
    <w:basedOn w:val="List5"/>
    <w:rsid w:val="00D917B9"/>
    <w:pPr>
      <w:ind w:firstLine="0"/>
    </w:pPr>
  </w:style>
  <w:style w:type="paragraph" w:styleId="ListNumber3">
    <w:name w:val="List Number 3"/>
    <w:basedOn w:val="List3"/>
    <w:rsid w:val="00D917B9"/>
    <w:pPr>
      <w:numPr>
        <w:numId w:val="3"/>
      </w:numPr>
    </w:pPr>
  </w:style>
  <w:style w:type="paragraph" w:styleId="ListNumber4">
    <w:name w:val="List Number 4"/>
    <w:basedOn w:val="List4"/>
    <w:rsid w:val="00D917B9"/>
    <w:pPr>
      <w:numPr>
        <w:numId w:val="4"/>
      </w:numPr>
    </w:pPr>
  </w:style>
  <w:style w:type="paragraph" w:styleId="ListNumber5">
    <w:name w:val="List Number 5"/>
    <w:basedOn w:val="List5"/>
    <w:rsid w:val="00D917B9"/>
    <w:pPr>
      <w:numPr>
        <w:numId w:val="5"/>
      </w:numPr>
    </w:pPr>
  </w:style>
  <w:style w:type="paragraph" w:styleId="BlockText">
    <w:name w:val="Block Text"/>
    <w:basedOn w:val="Normal"/>
    <w:rsid w:val="00D917B9"/>
    <w:pPr>
      <w:spacing w:after="120"/>
      <w:ind w:left="1440" w:right="1440"/>
    </w:pPr>
  </w:style>
  <w:style w:type="character" w:customStyle="1" w:styleId="Subscript">
    <w:name w:val="Subscript"/>
    <w:basedOn w:val="DefaultParagraphFont"/>
    <w:rsid w:val="00D917B9"/>
    <w:rPr>
      <w:sz w:val="16"/>
      <w:vertAlign w:val="subscript"/>
    </w:rPr>
  </w:style>
  <w:style w:type="character" w:customStyle="1" w:styleId="Superscript">
    <w:name w:val="Superscript"/>
    <w:basedOn w:val="DefaultParagraphFont"/>
    <w:rsid w:val="00D917B9"/>
    <w:rPr>
      <w:sz w:val="16"/>
      <w:vertAlign w:val="superscript"/>
    </w:rPr>
  </w:style>
  <w:style w:type="character" w:customStyle="1" w:styleId="Symbols">
    <w:name w:val="Symbols"/>
    <w:basedOn w:val="DefaultParagraphFont"/>
    <w:rsid w:val="00D917B9"/>
    <w:rPr>
      <w:rFonts w:ascii="Symbol" w:hAnsi="Symbol"/>
    </w:rPr>
  </w:style>
  <w:style w:type="character" w:customStyle="1" w:styleId="MenuOptions">
    <w:name w:val="Menu Options"/>
    <w:basedOn w:val="DefaultParagraphFont"/>
    <w:rsid w:val="00D917B9"/>
    <w:rPr>
      <w:rFonts w:ascii="Arial Narrow" w:hAnsi="Arial Narrow"/>
      <w:smallCaps/>
    </w:rPr>
  </w:style>
  <w:style w:type="character" w:customStyle="1" w:styleId="Buttons">
    <w:name w:val="Buttons"/>
    <w:basedOn w:val="DefaultParagraphFont"/>
    <w:rsid w:val="00D917B9"/>
    <w:rPr>
      <w:b/>
    </w:rPr>
  </w:style>
  <w:style w:type="character" w:customStyle="1" w:styleId="Underlined">
    <w:name w:val="Underlined"/>
    <w:basedOn w:val="DefaultParagraphFont"/>
    <w:rsid w:val="00D917B9"/>
    <w:rPr>
      <w:u w:val="single"/>
    </w:rPr>
  </w:style>
  <w:style w:type="paragraph" w:customStyle="1" w:styleId="TableBodyTextRight">
    <w:name w:val="Table Body Text Right"/>
    <w:basedOn w:val="TableBodyText"/>
    <w:rsid w:val="00D917B9"/>
    <w:pPr>
      <w:widowControl w:val="0"/>
      <w:autoSpaceDE w:val="0"/>
      <w:autoSpaceDN w:val="0"/>
      <w:adjustRightInd w:val="0"/>
      <w:jc w:val="right"/>
    </w:pPr>
    <w:rPr>
      <w:rFonts w:cs="Arial"/>
      <w:szCs w:val="18"/>
    </w:rPr>
  </w:style>
  <w:style w:type="paragraph" w:customStyle="1" w:styleId="CopyrightText">
    <w:name w:val="Copyright Text"/>
    <w:basedOn w:val="BodyText"/>
    <w:rsid w:val="00D917B9"/>
    <w:rPr>
      <w:sz w:val="18"/>
    </w:rPr>
  </w:style>
  <w:style w:type="paragraph" w:customStyle="1" w:styleId="BodySmallRight">
    <w:name w:val="Body Small Right"/>
    <w:basedOn w:val="BodyTextRight"/>
    <w:rsid w:val="00D917B9"/>
    <w:rPr>
      <w:sz w:val="18"/>
      <w:szCs w:val="18"/>
    </w:rPr>
  </w:style>
  <w:style w:type="paragraph" w:customStyle="1" w:styleId="MarginEdition">
    <w:name w:val="Margin Edition"/>
    <w:basedOn w:val="MarginNote"/>
    <w:rsid w:val="00D917B9"/>
    <w:pPr>
      <w:spacing w:before="0" w:after="0"/>
    </w:pPr>
    <w:rPr>
      <w:rFonts w:ascii="Times New Roman" w:hAnsi="Times New Roman"/>
      <w:color w:val="999999"/>
    </w:rPr>
  </w:style>
  <w:style w:type="paragraph" w:customStyle="1" w:styleId="Spacer">
    <w:name w:val="Spacer"/>
    <w:basedOn w:val="Normal"/>
    <w:rsid w:val="00D917B9"/>
    <w:rPr>
      <w:sz w:val="2"/>
      <w:szCs w:val="2"/>
    </w:rPr>
  </w:style>
  <w:style w:type="character" w:customStyle="1" w:styleId="Small">
    <w:name w:val="Small"/>
    <w:basedOn w:val="DefaultParagraphFont"/>
    <w:rsid w:val="00D917B9"/>
    <w:rPr>
      <w:sz w:val="16"/>
    </w:rPr>
  </w:style>
  <w:style w:type="paragraph" w:customStyle="1" w:styleId="WideTable">
    <w:name w:val="Wide Table"/>
    <w:basedOn w:val="Normal"/>
    <w:rsid w:val="00D917B9"/>
    <w:pPr>
      <w:ind w:left="-1418"/>
    </w:pPr>
    <w:rPr>
      <w:sz w:val="2"/>
      <w:szCs w:val="2"/>
    </w:rPr>
  </w:style>
  <w:style w:type="character" w:styleId="PageNumber">
    <w:name w:val="page number"/>
    <w:basedOn w:val="DefaultParagraphFont"/>
    <w:rsid w:val="00D917B9"/>
  </w:style>
  <w:style w:type="paragraph" w:styleId="Quote">
    <w:name w:val="Quote"/>
    <w:basedOn w:val="Heading1"/>
    <w:link w:val="QuoteChar"/>
    <w:qFormat/>
    <w:rsid w:val="00D917B9"/>
    <w:rPr>
      <w:b w:val="0"/>
      <w:sz w:val="72"/>
      <w:szCs w:val="72"/>
      <w:lang w:val="en-NZ"/>
    </w:rPr>
  </w:style>
  <w:style w:type="character" w:customStyle="1" w:styleId="QuoteChar">
    <w:name w:val="Quote Char"/>
    <w:basedOn w:val="DefaultParagraphFont"/>
    <w:link w:val="Quote"/>
    <w:rsid w:val="00D917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7B9"/>
    <w:pPr>
      <w:pageBreakBefore/>
    </w:pPr>
  </w:style>
  <w:style w:type="paragraph" w:customStyle="1" w:styleId="Border">
    <w:name w:val="Border"/>
    <w:basedOn w:val="Normal"/>
    <w:qFormat/>
    <w:rsid w:val="00D917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7B9"/>
    <w:rPr>
      <w:b/>
      <w:bCs/>
      <w:i/>
      <w:iCs/>
      <w:color w:val="auto"/>
    </w:rPr>
  </w:style>
  <w:style w:type="paragraph" w:styleId="IntenseQuote">
    <w:name w:val="Intense Quote"/>
    <w:basedOn w:val="Normal"/>
    <w:next w:val="Normal"/>
    <w:link w:val="IntenseQuoteChar"/>
    <w:uiPriority w:val="30"/>
    <w:qFormat/>
    <w:rsid w:val="00D917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7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17B9"/>
    <w:rPr>
      <w:smallCaps/>
      <w:color w:val="auto"/>
      <w:u w:val="single"/>
    </w:rPr>
  </w:style>
  <w:style w:type="character" w:styleId="IntenseReference">
    <w:name w:val="Intense Reference"/>
    <w:basedOn w:val="DefaultParagraphFont"/>
    <w:uiPriority w:val="32"/>
    <w:qFormat/>
    <w:rsid w:val="00D917B9"/>
    <w:rPr>
      <w:b/>
      <w:bCs/>
      <w:smallCaps/>
      <w:color w:val="auto"/>
      <w:spacing w:val="5"/>
      <w:u w:val="single"/>
    </w:rPr>
  </w:style>
  <w:style w:type="paragraph" w:customStyle="1" w:styleId="2ColumnHeading">
    <w:name w:val="2Column Heading"/>
    <w:basedOn w:val="BodyText"/>
    <w:qFormat/>
    <w:rsid w:val="00D917B9"/>
    <w:pPr>
      <w:spacing w:after="60"/>
      <w:ind w:left="-2268"/>
    </w:pPr>
    <w:rPr>
      <w:b/>
    </w:rPr>
  </w:style>
  <w:style w:type="paragraph" w:customStyle="1" w:styleId="Heading1TOC">
    <w:name w:val="Heading1 TOC"/>
    <w:basedOn w:val="Normal"/>
    <w:qFormat/>
    <w:rsid w:val="00D917B9"/>
    <w:pPr>
      <w:spacing w:before="240" w:after="120"/>
    </w:pPr>
    <w:rPr>
      <w:rFonts w:ascii="Times New Roman" w:hAnsi="Times New Roman"/>
      <w:b/>
      <w:sz w:val="32"/>
    </w:rPr>
  </w:style>
  <w:style w:type="paragraph" w:customStyle="1" w:styleId="Heading2TOC">
    <w:name w:val="Heading2 TOC"/>
    <w:basedOn w:val="Normal"/>
    <w:qFormat/>
    <w:rsid w:val="00D917B9"/>
    <w:pPr>
      <w:spacing w:before="240" w:after="60"/>
    </w:pPr>
    <w:rPr>
      <w:rFonts w:ascii="Times New Roman" w:hAnsi="Times New Roman"/>
      <w:b/>
      <w:sz w:val="28"/>
    </w:rPr>
  </w:style>
  <w:style w:type="character" w:customStyle="1" w:styleId="Underline">
    <w:name w:val="Underline"/>
    <w:basedOn w:val="DefaultParagraphFont"/>
    <w:qFormat/>
    <w:rsid w:val="00D917B9"/>
    <w:rPr>
      <w:u w:val="single"/>
    </w:rPr>
  </w:style>
  <w:style w:type="character" w:customStyle="1" w:styleId="BoldandItalics">
    <w:name w:val="Bold and Italics"/>
    <w:qFormat/>
    <w:rsid w:val="00D917B9"/>
    <w:rPr>
      <w:b/>
      <w:i/>
      <w:u w:val="none"/>
    </w:rPr>
  </w:style>
  <w:style w:type="paragraph" w:styleId="BalloonText">
    <w:name w:val="Balloon Text"/>
    <w:basedOn w:val="Normal"/>
    <w:link w:val="BalloonTextChar"/>
    <w:rsid w:val="00D917B9"/>
    <w:rPr>
      <w:rFonts w:ascii="Tahoma" w:hAnsi="Tahoma" w:cs="Tahoma"/>
      <w:sz w:val="16"/>
      <w:szCs w:val="16"/>
    </w:rPr>
  </w:style>
  <w:style w:type="character" w:customStyle="1" w:styleId="BalloonTextChar">
    <w:name w:val="Balloon Text Char"/>
    <w:basedOn w:val="DefaultParagraphFont"/>
    <w:link w:val="BalloonText"/>
    <w:rsid w:val="00D917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17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17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17B9"/>
    <w:rPr>
      <w:b/>
      <w:color w:val="660033"/>
      <w:spacing w:val="0"/>
    </w:rPr>
  </w:style>
  <w:style w:type="paragraph" w:customStyle="1" w:styleId="Nameditemlist">
    <w:name w:val="Named item list"/>
    <w:basedOn w:val="BodyText"/>
    <w:qFormat/>
    <w:rsid w:val="00D917B9"/>
    <w:pPr>
      <w:tabs>
        <w:tab w:val="left" w:pos="2835"/>
      </w:tabs>
      <w:ind w:left="2835" w:hanging="2835"/>
    </w:pPr>
  </w:style>
  <w:style w:type="paragraph" w:customStyle="1" w:styleId="BodyTextnopadding">
    <w:name w:val="Body Text no padding"/>
    <w:basedOn w:val="BodyText"/>
    <w:qFormat/>
    <w:rsid w:val="00D917B9"/>
    <w:pPr>
      <w:spacing w:before="0" w:after="0"/>
    </w:pPr>
  </w:style>
  <w:style w:type="paragraph" w:customStyle="1" w:styleId="BodyTextBold">
    <w:name w:val="Body Text Bold"/>
    <w:basedOn w:val="BodyText"/>
    <w:qFormat/>
    <w:rsid w:val="00D917B9"/>
    <w:rPr>
      <w:b/>
    </w:rPr>
  </w:style>
  <w:style w:type="character" w:styleId="Hyperlink">
    <w:name w:val="Hyperlink"/>
    <w:basedOn w:val="DefaultParagraphFont"/>
    <w:uiPriority w:val="99"/>
    <w:unhideWhenUsed/>
    <w:rsid w:val="00EF4E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540</Words>
  <Characters>3569</Characters>
  <Application>Microsoft Office Word</Application>
  <DocSecurity>0</DocSecurity>
  <Lines>148</Lines>
  <Paragraphs>83</Paragraphs>
  <ScaleCrop>false</ScaleCrop>
  <Company>Author-it Software Corporation Ltd.</Company>
  <LinksUpToDate>false</LinksUpToDate>
  <CharactersWithSpaces>4026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TLIL4021 Coordinate the erection and dismantling of temporary storage facilities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2021-04-12T02:43:00Z</dcterms:created>
  <dcterms:modified xsi:type="dcterms:W3CDTF">2021-04-12T02:43:00Z</dcterms:modified>
</cp:coreProperties>
</file>