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753A4" w:rsidP="003753A4">
      <w:pPr>
        <w:pStyle w:val="Title"/>
      </w:pPr>
      <w:r>
        <w:fldChar w:fldCharType="begin"/>
      </w:r>
      <w:r>
        <w:instrText xml:space="preserve"> TITLE   \* MERGEFORMAT </w:instrText>
      </w:r>
      <w:r>
        <w:fldChar w:fldCharType="separate"/>
      </w:r>
      <w:r>
        <w:t>TLIL4021 Coordinate the erection and dismantling of temporary storage facilities</w:t>
      </w:r>
      <w:r>
        <w:fldChar w:fldCharType="end"/>
      </w:r>
    </w:p>
    <w:p w:rsidR="003753A4" w:rsidP="003753A4">
      <w:pPr>
        <w:pStyle w:val="Version"/>
        <w:sectPr w:rsidSect="00F4036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4036F" w:rsidP="00F4036F">
      <w:pPr>
        <w:pStyle w:val="SuperHeading"/>
      </w:pPr>
      <w:r w:rsidRPr="00F4036F">
        <w:t>TLIL4021 Coordinate the erection and dismantling of temporary storage facilities</w:t>
      </w:r>
    </w:p>
    <w:p w:rsidR="00000000" w:rsidRPr="00F4036F" w:rsidP="00F4036F">
      <w:pPr>
        <w:pStyle w:val="Heading1"/>
      </w:pPr>
      <w:bookmarkStart w:id="1" w:name="O_798794"/>
      <w:bookmarkEnd w:id="1"/>
      <w:r w:rsidRPr="00F4036F">
        <w:t>Modification History</w:t>
      </w:r>
    </w:p>
    <w:p w:rsidR="003753A4" w:rsidP="003753A4">
      <w:pPr>
        <w:pStyle w:val="BodyText"/>
      </w:pPr>
      <w:r w:rsidRPr="00F4036F">
        <w:t>Release 1. This is the first release of this unit of competency in the TLI Transport and Logistics Training Package.</w:t>
      </w:r>
    </w:p>
    <w:p w:rsidR="00000000" w:rsidRPr="00F4036F" w:rsidP="00F4036F">
      <w:pPr>
        <w:pStyle w:val="Heading1"/>
      </w:pPr>
      <w:bookmarkStart w:id="2" w:name="O_798795"/>
      <w:bookmarkEnd w:id="2"/>
      <w:r w:rsidRPr="00F4036F">
        <w:t>Application</w:t>
      </w:r>
    </w:p>
    <w:p w:rsidR="00000000" w:rsidRPr="00F4036F" w:rsidP="003753A4">
      <w:pPr>
        <w:pStyle w:val="BodyText"/>
      </w:pPr>
      <w:r w:rsidRPr="00F4036F">
        <w:t>This unit involves the skills and knowledge required to coordinate the erection and dismantling of temporary storage facilities in accordance with regulatory requirements and workplace procedures in the transport and logistics industry.</w:t>
      </w:r>
    </w:p>
    <w:p w:rsidR="00000000" w:rsidRPr="00F4036F" w:rsidP="003753A4">
      <w:pPr>
        <w:pStyle w:val="BodyText"/>
      </w:pPr>
      <w:r w:rsidRPr="00F4036F">
        <w:t>It incl</w:t>
      </w:r>
      <w:r w:rsidRPr="00F4036F">
        <w:t xml:space="preserve">udes planning the erection of temporary storage facilities, erecting temporary storage facilities as planned and dismantling temporary storage facilities after out loading. </w:t>
      </w:r>
    </w:p>
    <w:p w:rsidR="00000000" w:rsidRPr="00F4036F" w:rsidP="003753A4">
      <w:pPr>
        <w:pStyle w:val="BodyText"/>
      </w:pPr>
      <w:r w:rsidRPr="00F4036F">
        <w:t>Work is performed under some supervision, generally within a team/group environmen</w:t>
      </w:r>
      <w:r w:rsidRPr="00F4036F">
        <w:t xml:space="preserve">t. </w:t>
      </w:r>
    </w:p>
    <w:p w:rsidR="003753A4" w:rsidP="003753A4">
      <w:pPr>
        <w:pStyle w:val="BodyText"/>
      </w:pPr>
      <w:r w:rsidRPr="00F4036F">
        <w:t>No licensing, legislative or certification requirements apply to this unit at the time of publication.</w:t>
      </w:r>
    </w:p>
    <w:p w:rsidR="00000000" w:rsidRPr="00F4036F" w:rsidP="00F4036F">
      <w:pPr>
        <w:pStyle w:val="Heading1"/>
      </w:pPr>
      <w:bookmarkStart w:id="3" w:name="O_798796"/>
      <w:bookmarkEnd w:id="3"/>
      <w:r w:rsidRPr="00F4036F">
        <w:t>Pre-requisite Unit</w:t>
      </w:r>
    </w:p>
    <w:p w:rsidR="00000000" w:rsidRPr="00F4036F" w:rsidP="003753A4">
      <w:pPr>
        <w:pStyle w:val="BodyText"/>
      </w:pPr>
      <w:r w:rsidRPr="00F4036F">
        <w:t>Not applicable.</w:t>
      </w:r>
    </w:p>
    <w:p w:rsidR="00000000" w:rsidRPr="00F4036F" w:rsidP="00F4036F">
      <w:pPr>
        <w:pStyle w:val="Heading1"/>
      </w:pPr>
      <w:bookmarkStart w:id="4" w:name="O_798797"/>
      <w:bookmarkEnd w:id="4"/>
      <w:r w:rsidRPr="00F4036F">
        <w:t>Competency Field</w:t>
      </w:r>
    </w:p>
    <w:p w:rsidR="003753A4" w:rsidP="003753A4">
      <w:pPr>
        <w:pStyle w:val="BodyText"/>
      </w:pPr>
      <w:r w:rsidRPr="00F4036F">
        <w:t>L – Resource Management</w:t>
      </w:r>
    </w:p>
    <w:p w:rsidR="00000000" w:rsidRPr="00F4036F" w:rsidP="00F4036F">
      <w:pPr>
        <w:pStyle w:val="Heading1"/>
      </w:pPr>
      <w:bookmarkStart w:id="5" w:name="O_798798"/>
      <w:bookmarkEnd w:id="5"/>
      <w:r w:rsidRPr="00F4036F">
        <w:t>Unit Sector</w:t>
      </w:r>
    </w:p>
    <w:p w:rsidR="00000000" w:rsidRPr="00F4036F" w:rsidP="003753A4">
      <w:pPr>
        <w:pStyle w:val="BodyText"/>
      </w:pPr>
      <w:r w:rsidRPr="00F4036F">
        <w:t>Not appl</w:t>
      </w:r>
      <w:r w:rsidRPr="00F4036F">
        <w:t>icable.</w:t>
      </w:r>
    </w:p>
    <w:p w:rsidR="00000000" w:rsidRPr="00F4036F" w:rsidP="00F4036F">
      <w:pPr>
        <w:pStyle w:val="Heading1"/>
      </w:pPr>
      <w:bookmarkStart w:id="6" w:name="O_798799"/>
      <w:bookmarkEnd w:id="6"/>
      <w:r w:rsidRPr="00F4036F">
        <w:t>Elements and Performance Criteria</w:t>
      </w:r>
    </w:p>
    <w:tbl>
      <w:tblPr>
        <w:tblW w:w="0" w:type="auto"/>
        <w:tblCellMar>
          <w:left w:w="62" w:type="dxa"/>
          <w:right w:w="62" w:type="dxa"/>
        </w:tblCellMar>
        <w:tblLook w:val="0000"/>
      </w:tblPr>
      <w:tblGrid>
        <w:gridCol w:w="330"/>
        <w:gridCol w:w="1756"/>
        <w:gridCol w:w="549"/>
        <w:gridCol w:w="6561"/>
      </w:tblGrid>
      <w:tr w:rsidTr="003753A4">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RPr="00F4036F" w:rsidP="00F4036F">
            <w:pPr>
              <w:pStyle w:val="BodyText"/>
            </w:pPr>
            <w:r w:rsidRPr="00F4036F">
              <w:rPr>
                <w:rStyle w:val="SpecialBold"/>
              </w:rPr>
              <w:t>ELEMENTS</w:t>
            </w:r>
          </w:p>
        </w:tc>
        <w:tc>
          <w:tcPr>
            <w:tcW w:w="0" w:type="auto"/>
            <w:gridSpan w:val="2"/>
            <w:tcBorders>
              <w:top w:val="nil"/>
              <w:left w:val="nil"/>
              <w:bottom w:val="nil"/>
              <w:right w:val="nil"/>
            </w:tcBorders>
            <w:tcMar>
              <w:top w:w="0" w:type="dxa"/>
              <w:left w:w="62" w:type="dxa"/>
              <w:bottom w:w="0" w:type="dxa"/>
              <w:right w:w="62" w:type="dxa"/>
            </w:tcMar>
          </w:tcPr>
          <w:p w:rsidR="00000000" w:rsidP="00F4036F">
            <w:pPr>
              <w:pStyle w:val="BodyText"/>
              <w:rPr>
                <w:lang w:val="en-NZ"/>
              </w:rPr>
            </w:pPr>
            <w:r w:rsidRPr="00F4036F">
              <w:rPr>
                <w:rStyle w:val="SpecialBold"/>
              </w:rPr>
              <w:t>PERFORMANCE CRITERIA</w:t>
            </w:r>
          </w:p>
        </w:tc>
      </w:tr>
      <w:tr w:rsidTr="003753A4">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F4036F">
            <w:pPr>
              <w:pStyle w:val="BodyText"/>
              <w:rPr>
                <w:lang w:val="en-NZ"/>
              </w:rPr>
            </w:pPr>
            <w:r w:rsidRPr="00F4036F">
              <w:t>Elements describe the essential outcomes.</w:t>
            </w:r>
          </w:p>
        </w:tc>
        <w:tc>
          <w:tcPr>
            <w:tcW w:w="0" w:type="auto"/>
            <w:gridSpan w:val="2"/>
            <w:tcBorders>
              <w:top w:val="nil"/>
              <w:left w:val="nil"/>
              <w:bottom w:val="nil"/>
              <w:right w:val="nil"/>
            </w:tcBorders>
            <w:tcMar>
              <w:top w:w="0" w:type="dxa"/>
              <w:left w:w="62" w:type="dxa"/>
              <w:bottom w:w="0" w:type="dxa"/>
              <w:right w:w="62" w:type="dxa"/>
            </w:tcMar>
          </w:tcPr>
          <w:p w:rsidR="00000000" w:rsidP="00F4036F">
            <w:pPr>
              <w:pStyle w:val="BodyText"/>
              <w:rPr>
                <w:lang w:val="en-NZ"/>
              </w:rPr>
            </w:pPr>
            <w:r w:rsidRPr="00F4036F">
              <w:t>Performance criteria describe the performance needed to demonstrate achievement of the element.</w:t>
            </w:r>
          </w:p>
        </w:tc>
      </w:tr>
      <w:tr w:rsidTr="003753A4">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F4036F" w:rsidP="00F4036F">
            <w:pPr>
              <w:pStyle w:val="BodyText"/>
            </w:pPr>
            <w:r w:rsidRPr="00F4036F">
              <w:rPr>
                <w:rStyle w:val="SpecialBold"/>
              </w:rPr>
              <w:t>1</w:t>
            </w:r>
          </w:p>
        </w:tc>
        <w:tc>
          <w:tcPr>
            <w:tcW w:w="0" w:type="auto"/>
            <w:vMerge w:val="restart"/>
            <w:tcBorders>
              <w:top w:val="nil"/>
              <w:left w:val="nil"/>
              <w:bottom w:val="nil"/>
              <w:right w:val="nil"/>
            </w:tcBorders>
            <w:tcMar>
              <w:top w:w="0" w:type="dxa"/>
              <w:left w:w="62" w:type="dxa"/>
              <w:bottom w:w="0" w:type="dxa"/>
              <w:right w:w="62" w:type="dxa"/>
            </w:tcMar>
          </w:tcPr>
          <w:p w:rsidR="00000000" w:rsidP="00F4036F">
            <w:pPr>
              <w:pStyle w:val="BodyText"/>
              <w:rPr>
                <w:lang w:val="en-NZ"/>
              </w:rPr>
            </w:pPr>
            <w:r w:rsidRPr="00F4036F">
              <w:rPr>
                <w:rStyle w:val="SpecialBold"/>
              </w:rPr>
              <w:t xml:space="preserve">Plan erection of </w:t>
            </w:r>
            <w:r w:rsidRPr="00F4036F">
              <w:rPr>
                <w:rStyle w:val="SpecialBold"/>
              </w:rPr>
              <w:t>temporary storage facility</w:t>
            </w:r>
          </w:p>
        </w:tc>
        <w:tc>
          <w:tcPr>
            <w:tcW w:w="0" w:type="auto"/>
            <w:tcBorders>
              <w:top w:val="nil"/>
              <w:left w:val="nil"/>
              <w:bottom w:val="nil"/>
              <w:right w:val="nil"/>
            </w:tcBorders>
            <w:tcMar>
              <w:top w:w="0" w:type="dxa"/>
              <w:left w:w="62" w:type="dxa"/>
              <w:bottom w:w="0" w:type="dxa"/>
              <w:right w:w="62" w:type="dxa"/>
            </w:tcMar>
          </w:tcPr>
          <w:p w:rsidR="00000000" w:rsidP="00F4036F">
            <w:pPr>
              <w:pStyle w:val="BodyText"/>
              <w:rPr>
                <w:lang w:val="en-NZ"/>
              </w:rPr>
            </w:pPr>
            <w:r w:rsidRPr="00F4036F">
              <w:t>1.1</w:t>
            </w:r>
          </w:p>
        </w:tc>
        <w:tc>
          <w:tcPr>
            <w:tcW w:w="0" w:type="auto"/>
            <w:tcBorders>
              <w:top w:val="nil"/>
              <w:left w:val="nil"/>
              <w:bottom w:val="nil"/>
              <w:right w:val="nil"/>
            </w:tcBorders>
            <w:tcMar>
              <w:top w:w="0" w:type="dxa"/>
              <w:left w:w="62" w:type="dxa"/>
              <w:bottom w:w="0" w:type="dxa"/>
              <w:right w:w="62" w:type="dxa"/>
            </w:tcMar>
          </w:tcPr>
          <w:p w:rsidR="00000000" w:rsidP="00F4036F">
            <w:pPr>
              <w:pStyle w:val="BodyText"/>
              <w:rPr>
                <w:lang w:val="en-NZ"/>
              </w:rPr>
            </w:pPr>
            <w:r w:rsidRPr="00F4036F">
              <w:t xml:space="preserve">Plans, storage specifications, assembly details and erection sequence are obtained and </w:t>
            </w:r>
            <w:r w:rsidRPr="00F4036F">
              <w:t>examined for accuracy to meet intended storage requirements</w:t>
            </w:r>
          </w:p>
        </w:tc>
      </w:tr>
      <w:tr w:rsidTr="003753A4">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F4036F">
            <w:pPr>
              <w:pStyle w:val="BodyText"/>
              <w:rPr>
                <w:lang w:val="en-NZ"/>
              </w:rPr>
            </w:pPr>
            <w:r w:rsidRPr="00F4036F">
              <w:t>1.2</w:t>
            </w:r>
          </w:p>
        </w:tc>
        <w:tc>
          <w:tcPr>
            <w:tcW w:w="0" w:type="auto"/>
            <w:tcBorders>
              <w:top w:val="nil"/>
              <w:left w:val="nil"/>
              <w:bottom w:val="nil"/>
              <w:right w:val="nil"/>
            </w:tcBorders>
            <w:tcMar>
              <w:top w:w="0" w:type="dxa"/>
              <w:left w:w="62" w:type="dxa"/>
              <w:bottom w:w="0" w:type="dxa"/>
              <w:right w:w="62" w:type="dxa"/>
            </w:tcMar>
          </w:tcPr>
          <w:p w:rsidR="00000000" w:rsidP="00F4036F">
            <w:pPr>
              <w:pStyle w:val="BodyText"/>
              <w:rPr>
                <w:lang w:val="en-NZ"/>
              </w:rPr>
            </w:pPr>
            <w:r w:rsidRPr="00F4036F">
              <w:t>Engi</w:t>
            </w:r>
            <w:r w:rsidRPr="00F4036F">
              <w:t>neering drawings, computations and instructions are obtained from qualified persons as required</w:t>
            </w:r>
          </w:p>
        </w:tc>
      </w:tr>
      <w:tr w:rsidTr="003753A4">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F4036F">
            <w:pPr>
              <w:pStyle w:val="BodyText"/>
              <w:rPr>
                <w:lang w:val="en-NZ"/>
              </w:rPr>
            </w:pPr>
            <w:r w:rsidRPr="00F4036F">
              <w:t>1.3</w:t>
            </w:r>
          </w:p>
        </w:tc>
        <w:tc>
          <w:tcPr>
            <w:tcW w:w="0" w:type="auto"/>
            <w:tcBorders>
              <w:top w:val="nil"/>
              <w:left w:val="nil"/>
              <w:bottom w:val="nil"/>
              <w:right w:val="nil"/>
            </w:tcBorders>
            <w:tcMar>
              <w:top w:w="0" w:type="dxa"/>
              <w:left w:w="62" w:type="dxa"/>
              <w:bottom w:w="0" w:type="dxa"/>
              <w:right w:w="62" w:type="dxa"/>
            </w:tcMar>
          </w:tcPr>
          <w:p w:rsidR="00000000" w:rsidP="00F4036F">
            <w:pPr>
              <w:pStyle w:val="BodyText"/>
              <w:rPr>
                <w:lang w:val="en-NZ"/>
              </w:rPr>
            </w:pPr>
            <w:r w:rsidRPr="00F4036F">
              <w:t>Local and state/territory authority approvals for storage facility construction are obtained</w:t>
            </w:r>
          </w:p>
        </w:tc>
      </w:tr>
      <w:tr w:rsidTr="003753A4">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F4036F">
            <w:pPr>
              <w:pStyle w:val="BodyText"/>
              <w:rPr>
                <w:lang w:val="en-NZ"/>
              </w:rPr>
            </w:pPr>
            <w:r w:rsidRPr="00F4036F">
              <w:t>1.4</w:t>
            </w:r>
          </w:p>
        </w:tc>
        <w:tc>
          <w:tcPr>
            <w:tcW w:w="0" w:type="auto"/>
            <w:tcBorders>
              <w:top w:val="nil"/>
              <w:left w:val="nil"/>
              <w:bottom w:val="nil"/>
              <w:right w:val="nil"/>
            </w:tcBorders>
            <w:tcMar>
              <w:top w:w="0" w:type="dxa"/>
              <w:left w:w="62" w:type="dxa"/>
              <w:bottom w:w="0" w:type="dxa"/>
              <w:right w:w="62" w:type="dxa"/>
            </w:tcMar>
          </w:tcPr>
          <w:p w:rsidR="00000000" w:rsidP="00F4036F">
            <w:pPr>
              <w:pStyle w:val="BodyText"/>
              <w:rPr>
                <w:lang w:val="en-NZ"/>
              </w:rPr>
            </w:pPr>
            <w:r w:rsidRPr="00F4036F">
              <w:t>Hazards are identified, risks are assessed and contro</w:t>
            </w:r>
            <w:r w:rsidRPr="00F4036F">
              <w:t>l measures are implemented</w:t>
            </w:r>
          </w:p>
        </w:tc>
      </w:tr>
      <w:tr w:rsidTr="003753A4">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F4036F">
            <w:pPr>
              <w:pStyle w:val="BodyText"/>
              <w:rPr>
                <w:lang w:val="en-NZ"/>
              </w:rPr>
            </w:pPr>
            <w:r w:rsidRPr="00F4036F">
              <w:t>1.5</w:t>
            </w:r>
          </w:p>
        </w:tc>
        <w:tc>
          <w:tcPr>
            <w:tcW w:w="0" w:type="auto"/>
            <w:tcBorders>
              <w:top w:val="nil"/>
              <w:left w:val="nil"/>
              <w:bottom w:val="nil"/>
              <w:right w:val="nil"/>
            </w:tcBorders>
            <w:tcMar>
              <w:top w:w="0" w:type="dxa"/>
              <w:left w:w="62" w:type="dxa"/>
              <w:bottom w:w="0" w:type="dxa"/>
              <w:right w:w="62" w:type="dxa"/>
            </w:tcMar>
          </w:tcPr>
          <w:p w:rsidR="00000000" w:rsidP="00F4036F">
            <w:pPr>
              <w:pStyle w:val="BodyText"/>
              <w:rPr>
                <w:lang w:val="en-NZ"/>
              </w:rPr>
            </w:pPr>
            <w:r w:rsidRPr="00F4036F">
              <w:t>Labour and equipment requirements for storage facility construction are organised and scheduled in accordance with erection sequence</w:t>
            </w:r>
          </w:p>
        </w:tc>
      </w:tr>
      <w:tr w:rsidTr="003753A4">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F4036F" w:rsidP="00F4036F">
            <w:pPr>
              <w:pStyle w:val="BodyText"/>
            </w:pPr>
            <w:r w:rsidRPr="00F4036F">
              <w:rPr>
                <w:rStyle w:val="SpecialBold"/>
              </w:rPr>
              <w:t>2</w:t>
            </w:r>
          </w:p>
        </w:tc>
        <w:tc>
          <w:tcPr>
            <w:tcW w:w="0" w:type="auto"/>
            <w:vMerge w:val="restart"/>
            <w:tcBorders>
              <w:top w:val="nil"/>
              <w:left w:val="nil"/>
              <w:bottom w:val="nil"/>
              <w:right w:val="nil"/>
            </w:tcBorders>
            <w:tcMar>
              <w:top w:w="0" w:type="dxa"/>
              <w:left w:w="62" w:type="dxa"/>
              <w:bottom w:w="0" w:type="dxa"/>
              <w:right w:w="62" w:type="dxa"/>
            </w:tcMar>
          </w:tcPr>
          <w:p w:rsidR="00000000" w:rsidP="00F4036F">
            <w:pPr>
              <w:pStyle w:val="BodyText"/>
              <w:rPr>
                <w:lang w:val="en-NZ"/>
              </w:rPr>
            </w:pPr>
            <w:r w:rsidRPr="00F4036F">
              <w:rPr>
                <w:rStyle w:val="SpecialBold"/>
              </w:rPr>
              <w:t>Erect temporary storage facility</w:t>
            </w:r>
          </w:p>
        </w:tc>
        <w:tc>
          <w:tcPr>
            <w:tcW w:w="0" w:type="auto"/>
            <w:tcBorders>
              <w:top w:val="nil"/>
              <w:left w:val="nil"/>
              <w:bottom w:val="nil"/>
              <w:right w:val="nil"/>
            </w:tcBorders>
            <w:tcMar>
              <w:top w:w="0" w:type="dxa"/>
              <w:left w:w="62" w:type="dxa"/>
              <w:bottom w:w="0" w:type="dxa"/>
              <w:right w:w="62" w:type="dxa"/>
            </w:tcMar>
          </w:tcPr>
          <w:p w:rsidR="00000000" w:rsidP="00F4036F">
            <w:pPr>
              <w:pStyle w:val="BodyText"/>
              <w:rPr>
                <w:lang w:val="en-NZ"/>
              </w:rPr>
            </w:pPr>
            <w:r w:rsidRPr="00F4036F">
              <w:t>2.1</w:t>
            </w:r>
          </w:p>
        </w:tc>
        <w:tc>
          <w:tcPr>
            <w:tcW w:w="0" w:type="auto"/>
            <w:tcBorders>
              <w:top w:val="nil"/>
              <w:left w:val="nil"/>
              <w:bottom w:val="nil"/>
              <w:right w:val="nil"/>
            </w:tcBorders>
            <w:tcMar>
              <w:top w:w="0" w:type="dxa"/>
              <w:left w:w="62" w:type="dxa"/>
              <w:bottom w:w="0" w:type="dxa"/>
              <w:right w:w="62" w:type="dxa"/>
            </w:tcMar>
          </w:tcPr>
          <w:p w:rsidR="00000000" w:rsidP="00F4036F">
            <w:pPr>
              <w:pStyle w:val="BodyText"/>
              <w:rPr>
                <w:lang w:val="en-NZ"/>
              </w:rPr>
            </w:pPr>
            <w:r w:rsidRPr="00F4036F">
              <w:t>Foundations and earthworks for temporary storage are prepared in accordance with workplace instructions and specifications</w:t>
            </w:r>
          </w:p>
        </w:tc>
      </w:tr>
      <w:tr w:rsidTr="003753A4">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F4036F">
            <w:pPr>
              <w:pStyle w:val="BodyText"/>
              <w:rPr>
                <w:lang w:val="en-NZ"/>
              </w:rPr>
            </w:pPr>
            <w:r w:rsidRPr="00F4036F">
              <w:t>2.2</w:t>
            </w:r>
          </w:p>
        </w:tc>
        <w:tc>
          <w:tcPr>
            <w:tcW w:w="0" w:type="auto"/>
            <w:tcBorders>
              <w:top w:val="nil"/>
              <w:left w:val="nil"/>
              <w:bottom w:val="nil"/>
              <w:right w:val="nil"/>
            </w:tcBorders>
            <w:tcMar>
              <w:top w:w="0" w:type="dxa"/>
              <w:left w:w="62" w:type="dxa"/>
              <w:bottom w:w="0" w:type="dxa"/>
              <w:right w:w="62" w:type="dxa"/>
            </w:tcMar>
          </w:tcPr>
          <w:p w:rsidR="00000000" w:rsidP="00F4036F">
            <w:pPr>
              <w:pStyle w:val="BodyText"/>
              <w:rPr>
                <w:lang w:val="en-NZ"/>
              </w:rPr>
            </w:pPr>
            <w:r w:rsidRPr="00F4036F">
              <w:t>Structural and storage components are assembled and placed in accordance with workplace instructions and specifications</w:t>
            </w:r>
          </w:p>
        </w:tc>
      </w:tr>
      <w:tr w:rsidTr="003753A4">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F4036F">
            <w:pPr>
              <w:pStyle w:val="BodyText"/>
              <w:rPr>
                <w:lang w:val="en-NZ"/>
              </w:rPr>
            </w:pPr>
            <w:r w:rsidRPr="00F4036F">
              <w:t>2.3</w:t>
            </w:r>
          </w:p>
        </w:tc>
        <w:tc>
          <w:tcPr>
            <w:tcW w:w="0" w:type="auto"/>
            <w:tcBorders>
              <w:top w:val="nil"/>
              <w:left w:val="nil"/>
              <w:bottom w:val="nil"/>
              <w:right w:val="nil"/>
            </w:tcBorders>
            <w:tcMar>
              <w:top w:w="0" w:type="dxa"/>
              <w:left w:w="62" w:type="dxa"/>
              <w:bottom w:w="0" w:type="dxa"/>
              <w:right w:w="62" w:type="dxa"/>
            </w:tcMar>
          </w:tcPr>
          <w:p w:rsidR="00000000" w:rsidP="00F4036F">
            <w:pPr>
              <w:pStyle w:val="BodyText"/>
              <w:rPr>
                <w:lang w:val="en-NZ"/>
              </w:rPr>
            </w:pPr>
            <w:r w:rsidRPr="00F4036F">
              <w:t>Protective sheeting (floor and wall) is placed and sealed/sewn in accordance with workplace specifications</w:t>
            </w:r>
          </w:p>
        </w:tc>
      </w:tr>
      <w:tr w:rsidTr="003753A4">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F4036F">
            <w:pPr>
              <w:pStyle w:val="BodyText"/>
              <w:rPr>
                <w:lang w:val="en-NZ"/>
              </w:rPr>
            </w:pPr>
            <w:r w:rsidRPr="00F4036F">
              <w:t>2.4</w:t>
            </w:r>
          </w:p>
        </w:tc>
        <w:tc>
          <w:tcPr>
            <w:tcW w:w="0" w:type="auto"/>
            <w:tcBorders>
              <w:top w:val="nil"/>
              <w:left w:val="nil"/>
              <w:bottom w:val="nil"/>
              <w:right w:val="nil"/>
            </w:tcBorders>
            <w:tcMar>
              <w:top w:w="0" w:type="dxa"/>
              <w:left w:w="62" w:type="dxa"/>
              <w:bottom w:w="0" w:type="dxa"/>
              <w:right w:w="62" w:type="dxa"/>
            </w:tcMar>
          </w:tcPr>
          <w:p w:rsidR="00000000" w:rsidP="00F4036F">
            <w:pPr>
              <w:pStyle w:val="BodyText"/>
              <w:rPr>
                <w:lang w:val="en-NZ"/>
              </w:rPr>
            </w:pPr>
            <w:r w:rsidRPr="00F4036F">
              <w:t>Material is placed into temporary storage facility in accordance with specifications and site procedures</w:t>
            </w:r>
          </w:p>
        </w:tc>
      </w:tr>
      <w:tr w:rsidTr="003753A4">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F4036F">
            <w:pPr>
              <w:pStyle w:val="BodyText"/>
              <w:rPr>
                <w:lang w:val="en-NZ"/>
              </w:rPr>
            </w:pPr>
            <w:r w:rsidRPr="00F4036F">
              <w:t>2.5</w:t>
            </w:r>
          </w:p>
        </w:tc>
        <w:tc>
          <w:tcPr>
            <w:tcW w:w="0" w:type="auto"/>
            <w:tcBorders>
              <w:top w:val="nil"/>
              <w:left w:val="nil"/>
              <w:bottom w:val="nil"/>
              <w:right w:val="nil"/>
            </w:tcBorders>
            <w:tcMar>
              <w:top w:w="0" w:type="dxa"/>
              <w:left w:w="62" w:type="dxa"/>
              <w:bottom w:w="0" w:type="dxa"/>
              <w:right w:w="62" w:type="dxa"/>
            </w:tcMar>
          </w:tcPr>
          <w:p w:rsidR="00000000" w:rsidP="00F4036F">
            <w:pPr>
              <w:pStyle w:val="BodyText"/>
              <w:rPr>
                <w:lang w:val="en-NZ"/>
              </w:rPr>
            </w:pPr>
            <w:r w:rsidRPr="00F4036F">
              <w:t>Grain protection measures are implemented in accordance with workplace requirements</w:t>
            </w:r>
          </w:p>
        </w:tc>
      </w:tr>
      <w:tr w:rsidTr="003753A4">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F4036F">
            <w:pPr>
              <w:pStyle w:val="BodyText"/>
              <w:rPr>
                <w:lang w:val="en-NZ"/>
              </w:rPr>
            </w:pPr>
            <w:r w:rsidRPr="00F4036F">
              <w:t>2.6</w:t>
            </w:r>
          </w:p>
        </w:tc>
        <w:tc>
          <w:tcPr>
            <w:tcW w:w="0" w:type="auto"/>
            <w:tcBorders>
              <w:top w:val="nil"/>
              <w:left w:val="nil"/>
              <w:bottom w:val="nil"/>
              <w:right w:val="nil"/>
            </w:tcBorders>
            <w:tcMar>
              <w:top w:w="0" w:type="dxa"/>
              <w:left w:w="62" w:type="dxa"/>
              <w:bottom w:w="0" w:type="dxa"/>
              <w:right w:w="62" w:type="dxa"/>
            </w:tcMar>
          </w:tcPr>
          <w:p w:rsidR="00000000" w:rsidP="00F4036F">
            <w:pPr>
              <w:pStyle w:val="BodyText"/>
              <w:rPr>
                <w:lang w:val="en-NZ"/>
              </w:rPr>
            </w:pPr>
            <w:r w:rsidRPr="00F4036F">
              <w:t>Labour and equipment are coordinated for timely and efficient completion of work</w:t>
            </w:r>
          </w:p>
        </w:tc>
      </w:tr>
      <w:tr w:rsidTr="003753A4">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F4036F" w:rsidP="00F4036F">
            <w:pPr>
              <w:pStyle w:val="BodyText"/>
            </w:pPr>
            <w:r w:rsidRPr="00F4036F">
              <w:rPr>
                <w:rStyle w:val="SpecialBold"/>
              </w:rPr>
              <w:t>3</w:t>
            </w:r>
          </w:p>
        </w:tc>
        <w:tc>
          <w:tcPr>
            <w:tcW w:w="0" w:type="auto"/>
            <w:vMerge w:val="restart"/>
            <w:tcBorders>
              <w:top w:val="nil"/>
              <w:left w:val="nil"/>
              <w:bottom w:val="nil"/>
              <w:right w:val="nil"/>
            </w:tcBorders>
            <w:tcMar>
              <w:top w:w="0" w:type="dxa"/>
              <w:left w:w="62" w:type="dxa"/>
              <w:bottom w:w="0" w:type="dxa"/>
              <w:right w:w="62" w:type="dxa"/>
            </w:tcMar>
          </w:tcPr>
          <w:p w:rsidR="00000000" w:rsidP="00F4036F">
            <w:pPr>
              <w:pStyle w:val="BodyText"/>
              <w:rPr>
                <w:lang w:val="en-NZ"/>
              </w:rPr>
            </w:pPr>
            <w:r w:rsidRPr="00F4036F">
              <w:rPr>
                <w:rStyle w:val="SpecialBold"/>
              </w:rPr>
              <w:t>Dismantle temporary storage facility after out loading</w:t>
            </w:r>
          </w:p>
        </w:tc>
        <w:tc>
          <w:tcPr>
            <w:tcW w:w="0" w:type="auto"/>
            <w:tcBorders>
              <w:top w:val="nil"/>
              <w:left w:val="nil"/>
              <w:bottom w:val="nil"/>
              <w:right w:val="nil"/>
            </w:tcBorders>
            <w:tcMar>
              <w:top w:w="0" w:type="dxa"/>
              <w:left w:w="62" w:type="dxa"/>
              <w:bottom w:w="0" w:type="dxa"/>
              <w:right w:w="62" w:type="dxa"/>
            </w:tcMar>
          </w:tcPr>
          <w:p w:rsidR="00000000" w:rsidP="00F4036F">
            <w:pPr>
              <w:pStyle w:val="BodyText"/>
              <w:rPr>
                <w:lang w:val="en-NZ"/>
              </w:rPr>
            </w:pPr>
            <w:r w:rsidRPr="00F4036F">
              <w:t>3.1</w:t>
            </w:r>
          </w:p>
        </w:tc>
        <w:tc>
          <w:tcPr>
            <w:tcW w:w="0" w:type="auto"/>
            <w:tcBorders>
              <w:top w:val="nil"/>
              <w:left w:val="nil"/>
              <w:bottom w:val="nil"/>
              <w:right w:val="nil"/>
            </w:tcBorders>
            <w:tcMar>
              <w:top w:w="0" w:type="dxa"/>
              <w:left w:w="62" w:type="dxa"/>
              <w:bottom w:w="0" w:type="dxa"/>
              <w:right w:w="62" w:type="dxa"/>
            </w:tcMar>
          </w:tcPr>
          <w:p w:rsidR="00000000" w:rsidP="00F4036F">
            <w:pPr>
              <w:pStyle w:val="BodyText"/>
              <w:rPr>
                <w:lang w:val="en-NZ"/>
              </w:rPr>
            </w:pPr>
            <w:r w:rsidRPr="00F4036F">
              <w:t>Procedures for dismant</w:t>
            </w:r>
            <w:r w:rsidRPr="00F4036F">
              <w:t>ling temporary storage facility, including sequencing of processes, are confirmed with qualified personnel</w:t>
            </w:r>
          </w:p>
        </w:tc>
      </w:tr>
      <w:tr w:rsidTr="003753A4">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F4036F">
            <w:pPr>
              <w:pStyle w:val="BodyText"/>
              <w:rPr>
                <w:lang w:val="en-NZ"/>
              </w:rPr>
            </w:pPr>
            <w:r w:rsidRPr="00F4036F">
              <w:t>3.2</w:t>
            </w:r>
          </w:p>
        </w:tc>
        <w:tc>
          <w:tcPr>
            <w:tcW w:w="0" w:type="auto"/>
            <w:tcBorders>
              <w:top w:val="nil"/>
              <w:left w:val="nil"/>
              <w:bottom w:val="nil"/>
              <w:right w:val="nil"/>
            </w:tcBorders>
            <w:tcMar>
              <w:top w:w="0" w:type="dxa"/>
              <w:left w:w="62" w:type="dxa"/>
              <w:bottom w:w="0" w:type="dxa"/>
              <w:right w:w="62" w:type="dxa"/>
            </w:tcMar>
          </w:tcPr>
          <w:p w:rsidR="00000000" w:rsidP="00F4036F">
            <w:pPr>
              <w:pStyle w:val="BodyText"/>
              <w:rPr>
                <w:lang w:val="en-NZ"/>
              </w:rPr>
            </w:pPr>
            <w:r w:rsidRPr="00F4036F">
              <w:t>Labour and equipment requirements for dismantling temporary storage facility are organised and scheduled</w:t>
            </w:r>
          </w:p>
        </w:tc>
      </w:tr>
      <w:tr w:rsidTr="003753A4">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F4036F">
            <w:pPr>
              <w:pStyle w:val="BodyText"/>
              <w:rPr>
                <w:lang w:val="en-NZ"/>
              </w:rPr>
            </w:pPr>
            <w:r w:rsidRPr="00F4036F">
              <w:t>3.3</w:t>
            </w:r>
          </w:p>
        </w:tc>
        <w:tc>
          <w:tcPr>
            <w:tcW w:w="0" w:type="auto"/>
            <w:tcBorders>
              <w:top w:val="nil"/>
              <w:left w:val="nil"/>
              <w:bottom w:val="nil"/>
              <w:right w:val="nil"/>
            </w:tcBorders>
            <w:tcMar>
              <w:top w:w="0" w:type="dxa"/>
              <w:left w:w="62" w:type="dxa"/>
              <w:bottom w:w="0" w:type="dxa"/>
              <w:right w:w="62" w:type="dxa"/>
            </w:tcMar>
          </w:tcPr>
          <w:p w:rsidR="00000000" w:rsidP="00F4036F">
            <w:pPr>
              <w:pStyle w:val="BodyText"/>
              <w:rPr>
                <w:lang w:val="en-NZ"/>
              </w:rPr>
            </w:pPr>
            <w:r w:rsidRPr="00F4036F">
              <w:t>Material is removed from storage in accordance with workplace procedures</w:t>
            </w:r>
          </w:p>
        </w:tc>
      </w:tr>
      <w:tr w:rsidTr="003753A4">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F4036F">
            <w:pPr>
              <w:pStyle w:val="BodyText"/>
              <w:rPr>
                <w:lang w:val="en-NZ"/>
              </w:rPr>
            </w:pPr>
            <w:r w:rsidRPr="00F4036F">
              <w:t>3.4</w:t>
            </w:r>
          </w:p>
        </w:tc>
        <w:tc>
          <w:tcPr>
            <w:tcW w:w="0" w:type="auto"/>
            <w:tcBorders>
              <w:top w:val="nil"/>
              <w:left w:val="nil"/>
              <w:bottom w:val="nil"/>
              <w:right w:val="nil"/>
            </w:tcBorders>
            <w:tcMar>
              <w:top w:w="0" w:type="dxa"/>
              <w:left w:w="62" w:type="dxa"/>
              <w:bottom w:w="0" w:type="dxa"/>
              <w:right w:w="62" w:type="dxa"/>
            </w:tcMar>
          </w:tcPr>
          <w:p w:rsidR="00000000" w:rsidP="00F4036F">
            <w:pPr>
              <w:pStyle w:val="BodyText"/>
              <w:rPr>
                <w:lang w:val="en-NZ"/>
              </w:rPr>
            </w:pPr>
            <w:r w:rsidRPr="00F4036F">
              <w:t>Protective sheeting (floor and wall) is dismantled and folded for future use or disposed of, in accordance with workplace procedures</w:t>
            </w:r>
          </w:p>
        </w:tc>
      </w:tr>
      <w:tr w:rsidTr="003753A4">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F4036F">
            <w:pPr>
              <w:pStyle w:val="BodyText"/>
              <w:rPr>
                <w:lang w:val="en-NZ"/>
              </w:rPr>
            </w:pPr>
            <w:r w:rsidRPr="00F4036F">
              <w:t>3.5</w:t>
            </w:r>
          </w:p>
        </w:tc>
        <w:tc>
          <w:tcPr>
            <w:tcW w:w="0" w:type="auto"/>
            <w:tcBorders>
              <w:top w:val="nil"/>
              <w:left w:val="nil"/>
              <w:bottom w:val="nil"/>
              <w:right w:val="nil"/>
            </w:tcBorders>
            <w:tcMar>
              <w:top w:w="0" w:type="dxa"/>
              <w:left w:w="62" w:type="dxa"/>
              <w:bottom w:w="0" w:type="dxa"/>
              <w:right w:w="62" w:type="dxa"/>
            </w:tcMar>
          </w:tcPr>
          <w:p w:rsidR="00000000" w:rsidP="00F4036F">
            <w:pPr>
              <w:pStyle w:val="BodyText"/>
              <w:rPr>
                <w:lang w:val="en-NZ"/>
              </w:rPr>
            </w:pPr>
            <w:r w:rsidRPr="00F4036F">
              <w:t>Structural components are disassembled, transported and stacked in accordance with workplace instructions</w:t>
            </w:r>
          </w:p>
        </w:tc>
      </w:tr>
      <w:tr w:rsidTr="003753A4">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F4036F">
            <w:pPr>
              <w:pStyle w:val="BodyText"/>
              <w:rPr>
                <w:lang w:val="en-NZ"/>
              </w:rPr>
            </w:pPr>
            <w:r w:rsidRPr="00F4036F">
              <w:t>3.6</w:t>
            </w:r>
          </w:p>
        </w:tc>
        <w:tc>
          <w:tcPr>
            <w:tcW w:w="0" w:type="auto"/>
            <w:tcBorders>
              <w:top w:val="nil"/>
              <w:left w:val="nil"/>
              <w:bottom w:val="nil"/>
              <w:right w:val="nil"/>
            </w:tcBorders>
            <w:tcMar>
              <w:top w:w="0" w:type="dxa"/>
              <w:left w:w="62" w:type="dxa"/>
              <w:bottom w:w="0" w:type="dxa"/>
              <w:right w:w="62" w:type="dxa"/>
            </w:tcMar>
          </w:tcPr>
          <w:p w:rsidR="00000000" w:rsidRPr="00F4036F" w:rsidP="00F4036F">
            <w:pPr>
              <w:pStyle w:val="BodyText"/>
            </w:pPr>
            <w:r w:rsidRPr="00F4036F">
              <w:t>Labour and equipment are coordinated for timely and efficient completion of work</w:t>
            </w:r>
          </w:p>
        </w:tc>
      </w:tr>
    </w:tbl>
    <w:p w:rsidR="003753A4" w:rsidP="00F4036F">
      <w:pPr>
        <w:pStyle w:val="BodyText"/>
      </w:pPr>
    </w:p>
    <w:p w:rsidR="003753A4" w:rsidP="00F4036F">
      <w:pPr>
        <w:pStyle w:val="BodyText"/>
      </w:pPr>
    </w:p>
    <w:p w:rsidR="00000000" w:rsidRPr="00F4036F" w:rsidP="00F4036F">
      <w:pPr>
        <w:pStyle w:val="Heading1"/>
      </w:pPr>
      <w:bookmarkStart w:id="7" w:name="O_798800"/>
      <w:bookmarkEnd w:id="7"/>
      <w:r w:rsidRPr="00F4036F">
        <w:t>Foundation Skills</w:t>
      </w:r>
    </w:p>
    <w:p w:rsidR="003753A4" w:rsidP="003753A4">
      <w:pPr>
        <w:pStyle w:val="BodyText"/>
      </w:pPr>
      <w:r w:rsidRPr="00F4036F">
        <w:t>Foundation skills essent</w:t>
      </w:r>
      <w:r w:rsidRPr="00F4036F">
        <w:t>ial to performance are explicit in the performance criteria of this unit of competency.</w:t>
      </w:r>
    </w:p>
    <w:p w:rsidR="00000000" w:rsidRPr="00F4036F" w:rsidP="00F4036F">
      <w:pPr>
        <w:pStyle w:val="Heading1"/>
      </w:pPr>
      <w:bookmarkStart w:id="8" w:name="O_798801"/>
      <w:bookmarkEnd w:id="8"/>
      <w:r w:rsidRPr="00F4036F">
        <w:t>Range of Conditions</w:t>
      </w:r>
    </w:p>
    <w:p w:rsidR="00000000" w:rsidRPr="00F4036F" w:rsidP="003753A4">
      <w:pPr>
        <w:pStyle w:val="BodyText"/>
      </w:pPr>
      <w:r w:rsidRPr="00F4036F">
        <w:t>Range is restricted to essential operating conditions and any other variables essential to the work environment.</w:t>
      </w:r>
    </w:p>
    <w:p w:rsidR="003753A4" w:rsidP="003753A4">
      <w:pPr>
        <w:pStyle w:val="BodyText"/>
      </w:pPr>
      <w:r w:rsidRPr="00F4036F">
        <w:t>Non-essential conditions can be found in the Companion Volume Implementation Guide.</w:t>
      </w:r>
    </w:p>
    <w:p w:rsidR="00000000" w:rsidRPr="00F4036F" w:rsidP="00F4036F">
      <w:pPr>
        <w:pStyle w:val="Heading1"/>
      </w:pPr>
      <w:bookmarkStart w:id="9" w:name="O_798802"/>
      <w:bookmarkEnd w:id="9"/>
      <w:r w:rsidRPr="00F4036F">
        <w:t>Unit Mapping Information</w:t>
      </w:r>
    </w:p>
    <w:p w:rsidR="003753A4" w:rsidP="003753A4">
      <w:pPr>
        <w:pStyle w:val="BodyText"/>
      </w:pPr>
      <w:r w:rsidRPr="00F4036F">
        <w:t>This unit replaces and is equivalent to TLIL4021A Coordinate the erection and dismantling of temporary storage facilities.</w:t>
      </w:r>
    </w:p>
    <w:p w:rsidR="00000000" w:rsidRPr="00F4036F" w:rsidP="00F4036F">
      <w:pPr>
        <w:pStyle w:val="Heading1"/>
      </w:pPr>
      <w:bookmarkStart w:id="10" w:name="O_798809"/>
      <w:bookmarkEnd w:id="10"/>
      <w:r w:rsidRPr="00F4036F">
        <w:t>Links</w:t>
      </w:r>
    </w:p>
    <w:p w:rsidR="00000000" w:rsidRPr="00F4036F" w:rsidP="003753A4">
      <w:pPr>
        <w:pStyle w:val="BodyText"/>
      </w:pPr>
      <w:r w:rsidRPr="00F4036F">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030919">
        <w:rPr>
          <w:rStyle w:val="Hyperlink"/>
        </w:rPr>
        <w:t>https://vetnet.gov.au/Pages/TrainingDocs.aspx?q=df441c6e-213d-43e3-874c-0b3f7036d851</w:t>
      </w:r>
      <w:r>
        <w:fldChar w:fldCharType="end"/>
      </w:r>
    </w:p>
    <w:p w:rsidR="00000000" w:rsidRPr="00F4036F" w:rsidP="003753A4">
      <w:pPr>
        <w:pStyle w:val="BodyText"/>
        <w:sectPr w:rsidSect="00F4036F">
          <w:headerReference w:type="default" r:id="rId10"/>
          <w:footerReference w:type="default" r:id="rId11"/>
          <w:pgSz w:w="11908" w:h="16833"/>
          <w:pgMar w:top="1702" w:right="1418" w:bottom="1702" w:left="1418" w:header="992" w:footer="992" w:gutter="0"/>
          <w:cols w:space="720"/>
          <w:noEndnote/>
          <w:docGrid w:linePitch="299"/>
        </w:sectPr>
      </w:pPr>
    </w:p>
    <w:p w:rsidR="00000000" w:rsidRPr="00F4036F" w:rsidP="00F4036F">
      <w:pPr>
        <w:pStyle w:val="SuperHeading"/>
      </w:pPr>
      <w:r w:rsidRPr="00F4036F">
        <w:t>Assessment Requirements for TLIL4021 Coordina</w:t>
      </w:r>
      <w:r w:rsidRPr="00F4036F">
        <w:t>te the erection and dismantling of temporary storage facilities</w:t>
      </w:r>
    </w:p>
    <w:p w:rsidR="00000000" w:rsidRPr="00F4036F" w:rsidP="00F4036F">
      <w:pPr>
        <w:pStyle w:val="Heading1"/>
      </w:pPr>
      <w:bookmarkStart w:id="11" w:name="O_798804"/>
      <w:bookmarkEnd w:id="11"/>
      <w:r w:rsidRPr="00F4036F">
        <w:t>Modification History</w:t>
      </w:r>
    </w:p>
    <w:p w:rsidR="003753A4" w:rsidP="003753A4">
      <w:pPr>
        <w:pStyle w:val="BodyText"/>
      </w:pPr>
      <w:r w:rsidRPr="00F4036F">
        <w:t>Release 1. This is the first release of this unit of competency in the TLI Transport and Logistics Training Package.</w:t>
      </w:r>
    </w:p>
    <w:p w:rsidR="00000000" w:rsidRPr="00F4036F" w:rsidP="00F4036F">
      <w:pPr>
        <w:pStyle w:val="Heading1"/>
      </w:pPr>
      <w:bookmarkStart w:id="12" w:name="O_798805"/>
      <w:bookmarkEnd w:id="12"/>
      <w:r w:rsidRPr="00F4036F">
        <w:t>Performance Evidence</w:t>
      </w:r>
    </w:p>
    <w:tbl>
      <w:tblPr>
        <w:tblW w:w="0" w:type="auto"/>
        <w:tblCellMar>
          <w:left w:w="62" w:type="dxa"/>
          <w:right w:w="62" w:type="dxa"/>
        </w:tblCellMar>
        <w:tblLook w:val="0000"/>
      </w:tblPr>
      <w:tblGrid>
        <w:gridCol w:w="9196"/>
      </w:tblGrid>
      <w:tr w:rsidTr="003753A4">
        <w:tblPrEx>
          <w:tblW w:w="0" w:type="auto"/>
          <w:tblCellMar>
            <w:left w:w="62" w:type="dxa"/>
            <w:right w:w="62" w:type="dxa"/>
          </w:tblCellMar>
          <w:tblLook w:val="0000"/>
        </w:tblPrEx>
        <w:trPr>
          <w:trHeight w:val="1057"/>
        </w:trPr>
        <w:tc>
          <w:tcPr>
            <w:tcW w:w="0" w:type="auto"/>
            <w:tcBorders>
              <w:top w:val="nil"/>
              <w:left w:val="nil"/>
              <w:bottom w:val="nil"/>
              <w:right w:val="nil"/>
            </w:tcBorders>
            <w:tcMar>
              <w:top w:w="0" w:type="dxa"/>
              <w:left w:w="62" w:type="dxa"/>
              <w:bottom w:w="0" w:type="dxa"/>
              <w:right w:w="62" w:type="dxa"/>
            </w:tcMar>
          </w:tcPr>
          <w:p w:rsidR="00000000" w:rsidP="00F4036F">
            <w:pPr>
              <w:pStyle w:val="BodyText"/>
              <w:rPr>
                <w:lang w:val="en-NZ"/>
              </w:rPr>
            </w:pPr>
            <w:r w:rsidRPr="00F4036F">
              <w:t>Evidence required to demonstrate competence in this unit must be relevant to and satisfy all of the requirements of the elements, performance criteria on at least one occasion and include:</w:t>
            </w:r>
          </w:p>
        </w:tc>
      </w:tr>
      <w:tr w:rsidTr="003753A4">
        <w:tblPrEx>
          <w:tblW w:w="0" w:type="auto"/>
          <w:tblCellMar>
            <w:left w:w="62" w:type="dxa"/>
            <w:right w:w="62" w:type="dxa"/>
          </w:tblCellMar>
          <w:tblLook w:val="0000"/>
        </w:tblPrEx>
        <w:trPr>
          <w:trHeight w:val="142"/>
        </w:trPr>
        <w:tc>
          <w:tcPr>
            <w:tcW w:w="0" w:type="auto"/>
            <w:tcBorders>
              <w:top w:val="nil"/>
              <w:left w:val="nil"/>
              <w:bottom w:val="nil"/>
              <w:right w:val="nil"/>
            </w:tcBorders>
            <w:tcMar>
              <w:top w:w="0" w:type="dxa"/>
              <w:left w:w="62" w:type="dxa"/>
              <w:bottom w:w="0" w:type="dxa"/>
              <w:right w:w="62" w:type="dxa"/>
            </w:tcMar>
          </w:tcPr>
          <w:p w:rsidR="00000000" w:rsidRPr="00F4036F" w:rsidP="00F4036F">
            <w:pPr>
              <w:pStyle w:val="ListBullet"/>
            </w:pPr>
            <w:r w:rsidRPr="00F4036F">
              <w:t xml:space="preserve">applying precautions and required action to minimise, control or eliminate identified hazards </w:t>
            </w:r>
          </w:p>
          <w:p w:rsidR="00000000" w:rsidRPr="00F4036F" w:rsidP="00F4036F">
            <w:pPr>
              <w:pStyle w:val="ListBullet"/>
            </w:pPr>
            <w:r w:rsidRPr="00F4036F">
              <w:t>applying relevant legislation and workplace procedures</w:t>
            </w:r>
          </w:p>
          <w:p w:rsidR="00000000" w:rsidRPr="00F4036F" w:rsidP="00F4036F">
            <w:pPr>
              <w:pStyle w:val="ListBullet"/>
            </w:pPr>
            <w:r w:rsidRPr="00F4036F">
              <w:t xml:space="preserve">communicating and working effectively with others </w:t>
            </w:r>
          </w:p>
          <w:p w:rsidR="00000000" w:rsidRPr="00F4036F" w:rsidP="00F4036F">
            <w:pPr>
              <w:pStyle w:val="ListBullet"/>
            </w:pPr>
            <w:r w:rsidRPr="00F4036F">
              <w:t xml:space="preserve">completing relevant documentation </w:t>
            </w:r>
          </w:p>
          <w:p w:rsidR="00000000" w:rsidRPr="00F4036F" w:rsidP="00F4036F">
            <w:pPr>
              <w:pStyle w:val="ListBullet"/>
            </w:pPr>
            <w:r w:rsidRPr="00F4036F">
              <w:t>identifying, selecti</w:t>
            </w:r>
            <w:r w:rsidRPr="00F4036F">
              <w:t>ng and using relevant equipment</w:t>
            </w:r>
          </w:p>
          <w:p w:rsidR="00000000" w:rsidRPr="00F4036F" w:rsidP="00F4036F">
            <w:pPr>
              <w:pStyle w:val="ListBullet"/>
            </w:pPr>
            <w:r w:rsidRPr="00F4036F">
              <w:t xml:space="preserve">implementing contingency plans </w:t>
            </w:r>
          </w:p>
          <w:p w:rsidR="00000000" w:rsidRPr="00F4036F" w:rsidP="00F4036F">
            <w:pPr>
              <w:pStyle w:val="ListBullet"/>
            </w:pPr>
            <w:r w:rsidRPr="00F4036F">
              <w:t>modifying activities depending on operational contingencies, risk situations and environments</w:t>
            </w:r>
          </w:p>
          <w:p w:rsidR="00000000" w:rsidRPr="00F4036F" w:rsidP="00F4036F">
            <w:pPr>
              <w:pStyle w:val="ListBullet"/>
            </w:pPr>
            <w:r w:rsidRPr="00F4036F">
              <w:t>monitoring and prioritising work activities in terms of planned schedule</w:t>
            </w:r>
          </w:p>
          <w:p w:rsidR="00000000" w:rsidRPr="00F4036F" w:rsidP="00F4036F">
            <w:pPr>
              <w:pStyle w:val="ListBullet"/>
            </w:pPr>
            <w:r w:rsidRPr="00F4036F">
              <w:t>operating and adapting to</w:t>
            </w:r>
            <w:r w:rsidRPr="00F4036F">
              <w:t xml:space="preserve"> differences in equipment in accordance with operating procedures</w:t>
            </w:r>
          </w:p>
          <w:p w:rsidR="00000000" w:rsidRPr="00F4036F" w:rsidP="00F4036F">
            <w:pPr>
              <w:pStyle w:val="ListBullet"/>
            </w:pPr>
            <w:r w:rsidRPr="00F4036F">
              <w:t>operating electronic communications equipment to required protocol</w:t>
            </w:r>
          </w:p>
          <w:p w:rsidR="00000000" w:rsidRPr="00F4036F" w:rsidP="00F4036F">
            <w:pPr>
              <w:pStyle w:val="ListBullet"/>
            </w:pPr>
            <w:r w:rsidRPr="00F4036F">
              <w:t>planning own work, predicting consequences and identifying improvements</w:t>
            </w:r>
          </w:p>
          <w:p w:rsidR="00000000" w:rsidRPr="00F4036F" w:rsidP="00F4036F">
            <w:pPr>
              <w:pStyle w:val="ListBullet"/>
            </w:pPr>
            <w:r w:rsidRPr="00F4036F">
              <w:t>reading, interpreting and following relevant instru</w:t>
            </w:r>
            <w:r w:rsidRPr="00F4036F">
              <w:t>ctions, procedures and signs</w:t>
            </w:r>
          </w:p>
          <w:p w:rsidR="00000000" w:rsidRPr="00F4036F" w:rsidP="00F4036F">
            <w:pPr>
              <w:pStyle w:val="ListBullet"/>
            </w:pPr>
            <w:r w:rsidRPr="00F4036F">
              <w:t>selecting and using required personal protective equipment conforming to industry and work health and safety (WHS)/occupational health and safety (OHS) standards</w:t>
            </w:r>
          </w:p>
          <w:p w:rsidR="00000000" w:rsidRPr="00F4036F" w:rsidP="00F4036F">
            <w:pPr>
              <w:pStyle w:val="ListBullet"/>
            </w:pPr>
            <w:r w:rsidRPr="00F4036F">
              <w:t xml:space="preserve">working systematically with required attention to detail without </w:t>
            </w:r>
            <w:r w:rsidRPr="00F4036F">
              <w:t>injury to self or others, or damage to goods or equipment.</w:t>
            </w:r>
          </w:p>
        </w:tc>
      </w:tr>
    </w:tbl>
    <w:p w:rsidR="003753A4" w:rsidP="00F4036F">
      <w:pPr>
        <w:pStyle w:val="BodyText"/>
      </w:pPr>
    </w:p>
    <w:p w:rsidR="003753A4" w:rsidP="00F4036F">
      <w:pPr>
        <w:pStyle w:val="BodyText"/>
      </w:pPr>
    </w:p>
    <w:p w:rsidR="00000000" w:rsidRPr="00F4036F" w:rsidP="00F4036F">
      <w:pPr>
        <w:pStyle w:val="Heading1"/>
      </w:pPr>
      <w:bookmarkStart w:id="13" w:name="O_798806"/>
      <w:bookmarkEnd w:id="13"/>
      <w:r w:rsidRPr="00F4036F">
        <w:t>Knowledge Evidence</w:t>
      </w:r>
    </w:p>
    <w:tbl>
      <w:tblPr>
        <w:tblW w:w="0" w:type="auto"/>
        <w:tblCellMar>
          <w:left w:w="62" w:type="dxa"/>
          <w:right w:w="62" w:type="dxa"/>
        </w:tblCellMar>
        <w:tblLook w:val="0000"/>
      </w:tblPr>
      <w:tblGrid>
        <w:gridCol w:w="9196"/>
      </w:tblGrid>
      <w:tr w:rsidTr="003753A4">
        <w:tblPrEx>
          <w:tblW w:w="0" w:type="auto"/>
          <w:tblCellMar>
            <w:left w:w="62" w:type="dxa"/>
            <w:right w:w="62" w:type="dxa"/>
          </w:tblCellMar>
          <w:tblLook w:val="0000"/>
        </w:tblPrEx>
        <w:trPr>
          <w:trHeight w:val="1108"/>
        </w:trPr>
        <w:tc>
          <w:tcPr>
            <w:tcW w:w="0" w:type="auto"/>
            <w:tcBorders>
              <w:top w:val="nil"/>
              <w:left w:val="nil"/>
              <w:bottom w:val="nil"/>
              <w:right w:val="nil"/>
            </w:tcBorders>
            <w:tcMar>
              <w:top w:w="0" w:type="dxa"/>
              <w:left w:w="62" w:type="dxa"/>
              <w:bottom w:w="0" w:type="dxa"/>
              <w:right w:w="62" w:type="dxa"/>
            </w:tcMar>
          </w:tcPr>
          <w:p w:rsidR="00000000" w:rsidP="00F4036F">
            <w:pPr>
              <w:pStyle w:val="BodyText"/>
              <w:rPr>
                <w:lang w:val="en-NZ"/>
              </w:rPr>
            </w:pPr>
            <w:r w:rsidRPr="00F4036F">
              <w:t xml:space="preserve">Evidence required to demonstrate competence in this unit must be relevant to and satisfy all of the requirements of the elements, performance criteria and </w:t>
            </w:r>
            <w:r w:rsidRPr="00F4036F">
              <w:t>include knowledge of:</w:t>
            </w:r>
          </w:p>
        </w:tc>
      </w:tr>
      <w:tr w:rsidTr="003753A4">
        <w:tblPrEx>
          <w:tblW w:w="0" w:type="auto"/>
          <w:tblCellMar>
            <w:left w:w="62" w:type="dxa"/>
            <w:right w:w="62" w:type="dxa"/>
          </w:tblCellMar>
          <w:tblLook w:val="0000"/>
        </w:tblPrEx>
        <w:trPr>
          <w:trHeight w:val="2715"/>
        </w:trPr>
        <w:tc>
          <w:tcPr>
            <w:tcW w:w="0" w:type="auto"/>
            <w:tcBorders>
              <w:top w:val="nil"/>
              <w:left w:val="nil"/>
              <w:bottom w:val="nil"/>
              <w:right w:val="nil"/>
            </w:tcBorders>
            <w:tcMar>
              <w:top w:w="0" w:type="dxa"/>
              <w:left w:w="62" w:type="dxa"/>
              <w:bottom w:w="0" w:type="dxa"/>
              <w:right w:w="62" w:type="dxa"/>
            </w:tcMar>
          </w:tcPr>
          <w:p w:rsidR="00000000" w:rsidRPr="00F4036F" w:rsidP="00F4036F">
            <w:pPr>
              <w:pStyle w:val="ListBullet"/>
            </w:pPr>
            <w:r w:rsidRPr="00F4036F">
              <w:t>emergency response procedures</w:t>
            </w:r>
          </w:p>
          <w:p w:rsidR="00000000" w:rsidRPr="00F4036F" w:rsidP="00F4036F">
            <w:pPr>
              <w:pStyle w:val="ListBullet"/>
            </w:pPr>
            <w:r w:rsidRPr="00F4036F">
              <w:t>equipment applications, capacities, configurations, safety hazards and control mechanisms</w:t>
            </w:r>
          </w:p>
          <w:p w:rsidR="00000000" w:rsidRPr="00F4036F" w:rsidP="00F4036F">
            <w:pPr>
              <w:pStyle w:val="ListBullet"/>
            </w:pPr>
            <w:r w:rsidRPr="00F4036F">
              <w:t>grain protection measures</w:t>
            </w:r>
          </w:p>
          <w:p w:rsidR="00000000" w:rsidRPr="00F4036F" w:rsidP="00F4036F">
            <w:pPr>
              <w:pStyle w:val="ListBullet"/>
            </w:pPr>
            <w:r w:rsidRPr="00F4036F">
              <w:t>how to identify characteristics of commodity types, varieties and grades</w:t>
            </w:r>
          </w:p>
          <w:p w:rsidR="00000000" w:rsidRPr="00F4036F" w:rsidP="00F4036F">
            <w:pPr>
              <w:pStyle w:val="ListBullet"/>
            </w:pPr>
            <w:r w:rsidRPr="00F4036F">
              <w:t>problems that may occur and appropriate action that can be taken to resolve these problems</w:t>
            </w:r>
          </w:p>
          <w:p w:rsidR="00000000" w:rsidRPr="00F4036F" w:rsidP="00F4036F">
            <w:pPr>
              <w:pStyle w:val="ListBullet"/>
            </w:pPr>
            <w:r w:rsidRPr="00F4036F">
              <w:t>procedures for environmental control and disposal activities</w:t>
            </w:r>
          </w:p>
          <w:p w:rsidR="00000000" w:rsidRPr="00F4036F" w:rsidP="00F4036F">
            <w:pPr>
              <w:pStyle w:val="ListBullet"/>
            </w:pPr>
            <w:r w:rsidRPr="00F4036F">
              <w:t>range of construction methods used in erecting temporary storage facilities</w:t>
            </w:r>
          </w:p>
          <w:p w:rsidR="00000000" w:rsidRPr="00F4036F" w:rsidP="00F4036F">
            <w:pPr>
              <w:pStyle w:val="ListBullet"/>
            </w:pPr>
            <w:r w:rsidRPr="00F4036F">
              <w:t>regulations relevant to erec</w:t>
            </w:r>
            <w:r w:rsidRPr="00F4036F">
              <w:t>ting and dismantling temporary grain storage facilities</w:t>
            </w:r>
          </w:p>
          <w:p w:rsidR="00000000" w:rsidRPr="00F4036F" w:rsidP="00F4036F">
            <w:pPr>
              <w:pStyle w:val="ListBullet"/>
            </w:pPr>
            <w:r w:rsidRPr="00F4036F">
              <w:t>site layout and obstacles</w:t>
            </w:r>
          </w:p>
          <w:p w:rsidR="00000000" w:rsidRPr="00F4036F" w:rsidP="00F4036F">
            <w:pPr>
              <w:pStyle w:val="ListBullet"/>
            </w:pPr>
            <w:r w:rsidRPr="00F4036F">
              <w:t>storage and safe handling procedures</w:t>
            </w:r>
          </w:p>
          <w:p w:rsidR="00000000" w:rsidRPr="00F4036F" w:rsidP="00F4036F">
            <w:pPr>
              <w:pStyle w:val="ListBullet"/>
            </w:pPr>
            <w:r w:rsidRPr="00F4036F">
              <w:t>workplace procedures and policies for coordinating the erection and dismantling of temporary grain storage facilities.</w:t>
            </w:r>
          </w:p>
        </w:tc>
      </w:tr>
    </w:tbl>
    <w:p w:rsidR="003753A4" w:rsidP="00F4036F">
      <w:pPr>
        <w:pStyle w:val="BodyText"/>
      </w:pPr>
    </w:p>
    <w:p w:rsidR="003753A4" w:rsidP="00F4036F">
      <w:pPr>
        <w:pStyle w:val="BodyText"/>
      </w:pPr>
    </w:p>
    <w:p w:rsidR="00000000" w:rsidRPr="00F4036F" w:rsidP="00F4036F">
      <w:pPr>
        <w:pStyle w:val="Heading1"/>
      </w:pPr>
      <w:bookmarkStart w:id="14" w:name="O_798807"/>
      <w:bookmarkEnd w:id="14"/>
      <w:r w:rsidRPr="00F4036F">
        <w:t>Assessment Conditions</w:t>
      </w:r>
    </w:p>
    <w:tbl>
      <w:tblPr>
        <w:tblW w:w="0" w:type="auto"/>
        <w:tblCellMar>
          <w:left w:w="62" w:type="dxa"/>
          <w:right w:w="62" w:type="dxa"/>
        </w:tblCellMar>
        <w:tblLook w:val="0000"/>
      </w:tblPr>
      <w:tblGrid>
        <w:gridCol w:w="9196"/>
      </w:tblGrid>
      <w:tr w:rsidTr="003753A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F4036F" w:rsidP="00F4036F">
            <w:pPr>
              <w:pStyle w:val="BodyText"/>
            </w:pPr>
            <w:r w:rsidRPr="00F4036F">
              <w:t xml:space="preserve">As a minimum, assessors must satisfy applicable regulatory requirements, which include requirements in the </w:t>
            </w:r>
            <w:r w:rsidRPr="00F4036F">
              <w:rPr>
                <w:rStyle w:val="Emphasis"/>
              </w:rPr>
              <w:t>Standards for Registered Training Organisations</w:t>
            </w:r>
            <w:r w:rsidRPr="00F4036F">
              <w:t xml:space="preserve"> current at the time of assessment. </w:t>
            </w:r>
          </w:p>
          <w:p w:rsidR="00000000" w:rsidRPr="00F4036F" w:rsidP="00F4036F">
            <w:pPr>
              <w:pStyle w:val="BodyText"/>
            </w:pPr>
            <w:r w:rsidRPr="00F4036F">
              <w:t>As a minimum, assessment must satis</w:t>
            </w:r>
            <w:r w:rsidRPr="00F4036F">
              <w:t xml:space="preserve">fy applicable regulatory requirements, which include requirements in the </w:t>
            </w:r>
            <w:r w:rsidRPr="00F4036F">
              <w:rPr>
                <w:rStyle w:val="Emphasis"/>
              </w:rPr>
              <w:t>Standards for Registered Training Organisations</w:t>
            </w:r>
            <w:r w:rsidRPr="00F4036F">
              <w:t xml:space="preserve"> current at the time of assessment.</w:t>
            </w:r>
          </w:p>
          <w:p w:rsidR="00000000" w:rsidRPr="00F4036F" w:rsidP="00F4036F">
            <w:pPr>
              <w:pStyle w:val="BodyText"/>
            </w:pPr>
            <w:r w:rsidRPr="00F4036F">
              <w:t>Assessment must occur in workplace operational situations where it is appropriate to do so; where th</w:t>
            </w:r>
            <w:r w:rsidRPr="00F4036F">
              <w:t>is is not appropriate, assessment must occur in simulated workplace operational situations that replicate workplace conditions.</w:t>
            </w:r>
          </w:p>
          <w:p w:rsidR="00000000" w:rsidRPr="00F4036F" w:rsidP="00F4036F">
            <w:pPr>
              <w:pStyle w:val="BodyText"/>
            </w:pPr>
            <w:r w:rsidRPr="00F4036F">
              <w:t>Assessment processes and techniques must be appropriate to the language, literacy and numeracy requirements of the work being pe</w:t>
            </w:r>
            <w:r w:rsidRPr="00F4036F">
              <w:t>rformed and the needs of the candidate.</w:t>
            </w:r>
          </w:p>
          <w:p w:rsidR="00000000" w:rsidRPr="00F4036F" w:rsidP="00F4036F">
            <w:pPr>
              <w:pStyle w:val="BodyText"/>
            </w:pPr>
            <w:r w:rsidRPr="00F4036F">
              <w:t>Resources for assessment include:</w:t>
            </w:r>
          </w:p>
          <w:p w:rsidR="00000000" w:rsidRPr="00F4036F" w:rsidP="00F4036F">
            <w:pPr>
              <w:pStyle w:val="ListBullet"/>
            </w:pPr>
            <w:r w:rsidRPr="00F4036F">
              <w:t>a range of relevant exercises, case studies and/or simulations</w:t>
            </w:r>
          </w:p>
          <w:p w:rsidR="00000000" w:rsidRPr="00F4036F" w:rsidP="00F4036F">
            <w:pPr>
              <w:pStyle w:val="ListBullet"/>
            </w:pPr>
            <w:r w:rsidRPr="00F4036F">
              <w:t xml:space="preserve">applicable documentation including workplace procedures, regulations, codes of practice and operation manuals </w:t>
            </w:r>
          </w:p>
          <w:p w:rsidR="00000000" w:rsidRPr="00F4036F" w:rsidP="00F4036F">
            <w:pPr>
              <w:pStyle w:val="ListBullet"/>
            </w:pPr>
            <w:r w:rsidRPr="00F4036F">
              <w:t>relevan</w:t>
            </w:r>
            <w:r w:rsidRPr="00F4036F">
              <w:t>t materials, tools, equipment and personal protective equipment currently used in industry.</w:t>
            </w:r>
          </w:p>
        </w:tc>
      </w:tr>
    </w:tbl>
    <w:p w:rsidR="003753A4" w:rsidP="00F4036F">
      <w:pPr>
        <w:pStyle w:val="BodyText"/>
      </w:pPr>
    </w:p>
    <w:p w:rsidR="003753A4" w:rsidP="00F4036F">
      <w:pPr>
        <w:pStyle w:val="BodyText"/>
      </w:pPr>
    </w:p>
    <w:p w:rsidR="00000000" w:rsidRPr="00F4036F" w:rsidP="00F4036F">
      <w:pPr>
        <w:pStyle w:val="Heading1"/>
      </w:pPr>
      <w:bookmarkStart w:id="15" w:name="O_798810"/>
      <w:bookmarkEnd w:id="15"/>
      <w:r w:rsidRPr="00F4036F">
        <w:t>Links</w:t>
      </w:r>
    </w:p>
    <w:p w:rsidR="00000000" w:rsidRPr="00F4036F" w:rsidP="003753A4">
      <w:pPr>
        <w:pStyle w:val="BodyText"/>
      </w:pPr>
      <w:r w:rsidRPr="00F4036F">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030919">
        <w:rPr>
          <w:rStyle w:val="Hyperlink"/>
        </w:rPr>
        <w:t>https://vetnet.gov.au/Pages/TrainingDocs.aspx?q=df441c6e-213d-43e3-874c-0b3f7036d851</w:t>
      </w:r>
      <w:r>
        <w:fldChar w:fldCharType="end"/>
      </w:r>
    </w:p>
    <w:p w:rsidR="00000000" w:rsidRPr="00F4036F" w:rsidP="00F4036F"/>
    <w:sectPr w:rsidSect="00F4036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036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036F" w:rsidRPr="003753A4" w:rsidP="003753A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036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53A4" w:rsidP="00F4036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753A4" w:rsidP="00F4036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3753A4" w:rsidP="00F4036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036F" w:rsidP="00F4036F">
    <w:pPr>
      <w:pStyle w:val="Footer"/>
      <w:framePr w:wrap="around"/>
    </w:pPr>
    <w:r>
      <w:fldChar w:fldCharType="begin"/>
    </w:r>
    <w:r>
      <w:instrText xml:space="preserve"> DOCPROPERTY  Subject  \* MERGEFORMAT </w:instrText>
    </w:r>
    <w:r>
      <w:fldChar w:fldCharType="separate"/>
    </w:r>
    <w:r w:rsidR="003753A4">
      <w:t>Approved</w:t>
    </w:r>
    <w:r w:rsidR="003753A4">
      <w:fldChar w:fldCharType="end"/>
    </w:r>
    <w:r>
      <w:tab/>
      <w:t xml:space="preserve">Page </w:t>
    </w:r>
    <w:r>
      <w:fldChar w:fldCharType="begin"/>
    </w:r>
    <w:r>
      <w:instrText xml:space="preserve"> PAGE  \* Arabic  \* MERGEFORMAT </w:instrText>
    </w:r>
    <w:r>
      <w:fldChar w:fldCharType="separate"/>
    </w:r>
    <w:r w:rsidR="003753A4">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753A4">
      <w:rPr>
        <w:noProof/>
      </w:rPr>
      <w:t>4</w:t>
    </w:r>
    <w:r>
      <w:rPr>
        <w:noProof/>
      </w:rPr>
      <w:fldChar w:fldCharType="end"/>
    </w:r>
  </w:p>
  <w:p w:rsidR="00F4036F" w:rsidP="00F4036F">
    <w:pPr>
      <w:pStyle w:val="Footer"/>
      <w:framePr w:wrap="around"/>
    </w:pPr>
    <w:r>
      <w:t xml:space="preserve">© Commonwealth of Australia, </w:t>
    </w:r>
    <w:r>
      <w:fldChar w:fldCharType="begin"/>
    </w:r>
    <w:r>
      <w:instrText xml:space="preserve"> DATE  \@ "yyyy"  \* MERGEFORMAT </w:instrText>
    </w:r>
    <w:r>
      <w:fldChar w:fldCharType="separate"/>
    </w:r>
    <w:r w:rsidR="003753A4">
      <w:rPr>
        <w:noProof/>
      </w:rPr>
      <w:t>2025</w:t>
    </w:r>
    <w:r>
      <w:fldChar w:fldCharType="end"/>
    </w:r>
    <w:r>
      <w:tab/>
    </w:r>
    <w:r>
      <w:fldChar w:fldCharType="begin"/>
    </w:r>
    <w:r>
      <w:instrText xml:space="preserve"> DOCPROPERTY  Author  \* MERGEFORMAT </w:instrText>
    </w:r>
    <w:r>
      <w:fldChar w:fldCharType="separate"/>
    </w:r>
    <w:r w:rsidR="003753A4">
      <w:t>Industry Skills Australia</w:t>
    </w:r>
    <w:r w:rsidR="003753A4">
      <w:fldChar w:fldCharType="end"/>
    </w:r>
  </w:p>
  <w:p w:rsidR="00F4036F" w:rsidP="00F4036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036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53A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4036F" w:rsidRPr="003753A4" w:rsidP="003753A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036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53A4" w:rsidRPr="002D2AF8" w:rsidP="00F4036F">
    <w:pPr>
      <w:pStyle w:val="Header"/>
      <w:framePr w:wrap="around"/>
    </w:pPr>
    <w:r>
      <w:fldChar w:fldCharType="begin"/>
    </w:r>
    <w:r>
      <w:instrText xml:space="preserve"> TITLE   \* MERGEFORMAT </w:instrText>
    </w:r>
    <w:r>
      <w:fldChar w:fldCharType="separate"/>
    </w:r>
    <w:r>
      <w:t>TLIL4021 Coordinate the erection and dismantling of temporary storage facilities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753A4" w:rsidP="00F4036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036F" w:rsidRPr="002D2AF8" w:rsidP="00F4036F">
    <w:pPr>
      <w:pStyle w:val="Header"/>
      <w:framePr w:wrap="around"/>
    </w:pPr>
    <w:r>
      <w:fldChar w:fldCharType="begin"/>
    </w:r>
    <w:r>
      <w:instrText xml:space="preserve"> TITLE   \* MERGEFORMAT </w:instrText>
    </w:r>
    <w:r>
      <w:fldChar w:fldCharType="separate"/>
    </w:r>
    <w:r w:rsidR="003753A4">
      <w:t>TLIL4021 Coordinate the erection and dismantling of temporary storage facilities</w:t>
    </w:r>
    <w:r w:rsidR="003753A4">
      <w:fldChar w:fldCharType="end"/>
    </w:r>
    <w:r>
      <w:tab/>
      <w:t xml:space="preserve">Date this document was generated: </w:t>
    </w:r>
    <w:r>
      <w:fldChar w:fldCharType="begin"/>
    </w:r>
    <w:r>
      <w:instrText xml:space="preserve"> CREATEDATE  \@ "d MMMM yyyy"  \* MERGEFORMAT </w:instrText>
    </w:r>
    <w:r>
      <w:fldChar w:fldCharType="separate"/>
    </w:r>
    <w:r w:rsidR="003753A4">
      <w:rPr>
        <w:noProof/>
      </w:rPr>
      <w:t>2 March 2025</w:t>
    </w:r>
    <w:r>
      <w:fldChar w:fldCharType="end"/>
    </w:r>
  </w:p>
  <w:p w:rsidR="00F4036F" w:rsidP="00F4036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8625A7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C6AE9F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4036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4036F"/>
    <w:pPr>
      <w:spacing w:before="360" w:after="60"/>
      <w:outlineLvl w:val="0"/>
    </w:pPr>
    <w:rPr>
      <w:sz w:val="32"/>
    </w:rPr>
  </w:style>
  <w:style w:type="paragraph" w:styleId="Heading2">
    <w:name w:val="heading 2"/>
    <w:basedOn w:val="HeadingBase"/>
    <w:next w:val="BodyText"/>
    <w:link w:val="Heading2Char"/>
    <w:qFormat/>
    <w:rsid w:val="00F4036F"/>
    <w:pPr>
      <w:keepLines/>
      <w:spacing w:before="240" w:after="120"/>
      <w:outlineLvl w:val="1"/>
    </w:pPr>
    <w:rPr>
      <w:sz w:val="28"/>
      <w:szCs w:val="40"/>
    </w:rPr>
  </w:style>
  <w:style w:type="paragraph" w:styleId="Heading3">
    <w:name w:val="heading 3"/>
    <w:basedOn w:val="HeadingBase"/>
    <w:next w:val="BodyText"/>
    <w:link w:val="Heading3Char"/>
    <w:qFormat/>
    <w:rsid w:val="00F4036F"/>
    <w:pPr>
      <w:spacing w:before="180" w:after="120"/>
      <w:outlineLvl w:val="2"/>
    </w:pPr>
    <w:rPr>
      <w:spacing w:val="-10"/>
      <w:kern w:val="32"/>
    </w:rPr>
  </w:style>
  <w:style w:type="paragraph" w:styleId="Heading4">
    <w:name w:val="heading 4"/>
    <w:basedOn w:val="HeadingBase"/>
    <w:next w:val="BodyText"/>
    <w:link w:val="Heading4Char"/>
    <w:qFormat/>
    <w:rsid w:val="00F4036F"/>
    <w:pPr>
      <w:spacing w:before="160" w:after="120"/>
      <w:outlineLvl w:val="3"/>
    </w:pPr>
    <w:rPr>
      <w:sz w:val="22"/>
    </w:rPr>
  </w:style>
  <w:style w:type="paragraph" w:styleId="Heading5">
    <w:name w:val="heading 5"/>
    <w:basedOn w:val="HeadingBase"/>
    <w:next w:val="Normal"/>
    <w:link w:val="Heading5Char"/>
    <w:qFormat/>
    <w:rsid w:val="00F4036F"/>
    <w:pPr>
      <w:spacing w:before="80"/>
      <w:outlineLvl w:val="4"/>
    </w:pPr>
    <w:rPr>
      <w:color w:val="918585"/>
      <w:sz w:val="20"/>
    </w:rPr>
  </w:style>
  <w:style w:type="paragraph" w:styleId="Heading6">
    <w:name w:val="heading 6"/>
    <w:basedOn w:val="HeadingBase"/>
    <w:next w:val="Normal"/>
    <w:link w:val="Heading6Char"/>
    <w:qFormat/>
    <w:rsid w:val="00F4036F"/>
    <w:pPr>
      <w:spacing w:before="60"/>
      <w:outlineLvl w:val="5"/>
    </w:pPr>
    <w:rPr>
      <w:color w:val="918585"/>
      <w:sz w:val="20"/>
    </w:rPr>
  </w:style>
  <w:style w:type="paragraph" w:styleId="Heading7">
    <w:name w:val="heading 7"/>
    <w:basedOn w:val="Normal"/>
    <w:next w:val="Normal"/>
    <w:link w:val="Heading7Char"/>
    <w:qFormat/>
    <w:rsid w:val="00F4036F"/>
    <w:pPr>
      <w:ind w:left="720"/>
      <w:outlineLvl w:val="6"/>
    </w:pPr>
    <w:rPr>
      <w:i/>
    </w:rPr>
  </w:style>
  <w:style w:type="paragraph" w:styleId="Heading8">
    <w:name w:val="heading 8"/>
    <w:basedOn w:val="Normal"/>
    <w:next w:val="Normal"/>
    <w:link w:val="Heading8Char"/>
    <w:qFormat/>
    <w:rsid w:val="00F4036F"/>
    <w:pPr>
      <w:ind w:left="720"/>
      <w:outlineLvl w:val="7"/>
    </w:pPr>
    <w:rPr>
      <w:i/>
    </w:rPr>
  </w:style>
  <w:style w:type="paragraph" w:styleId="Heading9">
    <w:name w:val="heading 9"/>
    <w:basedOn w:val="Normal"/>
    <w:next w:val="Normal"/>
    <w:link w:val="Heading9Char"/>
    <w:qFormat/>
    <w:rsid w:val="00F4036F"/>
    <w:pPr>
      <w:ind w:left="720"/>
      <w:outlineLvl w:val="8"/>
    </w:pPr>
    <w:rPr>
      <w:i/>
    </w:rPr>
  </w:style>
  <w:style w:type="character" w:default="1" w:styleId="DefaultParagraphFont">
    <w:name w:val="Default Paragraph Font"/>
    <w:uiPriority w:val="1"/>
    <w:unhideWhenUsed/>
    <w:rsid w:val="00F4036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4036F"/>
  </w:style>
  <w:style w:type="character" w:customStyle="1" w:styleId="Heading1Char">
    <w:name w:val="Heading 1 Char"/>
    <w:basedOn w:val="DefaultParagraphFont"/>
    <w:link w:val="Heading1"/>
    <w:rsid w:val="00F4036F"/>
    <w:rPr>
      <w:rFonts w:ascii="Times New Roman" w:eastAsia="Times New Roman" w:hAnsi="Times New Roman" w:cs="Times New Roman"/>
      <w:b/>
      <w:sz w:val="32"/>
      <w:szCs w:val="20"/>
      <w:lang w:eastAsia="en-US"/>
    </w:rPr>
  </w:style>
  <w:style w:type="paragraph" w:styleId="BodyText">
    <w:name w:val="Body Text"/>
    <w:basedOn w:val="Normal"/>
    <w:link w:val="BodyTextChar"/>
    <w:rsid w:val="00F4036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4036F"/>
    <w:rPr>
      <w:rFonts w:ascii="Times New Roman" w:eastAsia="Times New Roman" w:hAnsi="Times New Roman" w:cs="Times New Roman"/>
      <w:sz w:val="24"/>
      <w:lang w:eastAsia="en-US"/>
    </w:rPr>
  </w:style>
  <w:style w:type="paragraph" w:styleId="ListBullet">
    <w:name w:val="List Bullet"/>
    <w:basedOn w:val="List"/>
    <w:rsid w:val="00F4036F"/>
    <w:pPr>
      <w:numPr>
        <w:numId w:val="11"/>
      </w:numPr>
      <w:tabs>
        <w:tab w:val="clear" w:pos="340"/>
      </w:tabs>
      <w:spacing w:before="40" w:after="40"/>
    </w:pPr>
  </w:style>
  <w:style w:type="character" w:customStyle="1" w:styleId="SpecialBold">
    <w:name w:val="Special Bold"/>
    <w:basedOn w:val="DefaultParagraphFont"/>
    <w:rsid w:val="00F4036F"/>
    <w:rPr>
      <w:b/>
      <w:spacing w:val="0"/>
    </w:rPr>
  </w:style>
  <w:style w:type="character" w:styleId="Emphasis">
    <w:name w:val="Emphasis"/>
    <w:basedOn w:val="DefaultParagraphFont"/>
    <w:qFormat/>
    <w:rsid w:val="00F4036F"/>
    <w:rPr>
      <w:i/>
    </w:rPr>
  </w:style>
  <w:style w:type="paragraph" w:customStyle="1" w:styleId="SuperHeading">
    <w:name w:val="SuperHeading"/>
    <w:basedOn w:val="Normal"/>
    <w:rsid w:val="00F4036F"/>
    <w:pPr>
      <w:spacing w:before="240" w:after="120"/>
      <w:outlineLvl w:val="0"/>
    </w:pPr>
    <w:rPr>
      <w:rFonts w:ascii="Times New Roman" w:hAnsi="Times New Roman"/>
      <w:b/>
      <w:sz w:val="32"/>
    </w:rPr>
  </w:style>
  <w:style w:type="paragraph" w:customStyle="1" w:styleId="AllowPageBreak">
    <w:name w:val="AllowPageBreak"/>
    <w:rsid w:val="00F4036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4036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4036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4036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4036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4036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4036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4036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4036F"/>
    <w:rPr>
      <w:rFonts w:ascii="Courier New" w:eastAsia="Times New Roman" w:hAnsi="Courier New" w:cs="Times New Roman"/>
      <w:i/>
      <w:szCs w:val="20"/>
      <w:lang w:eastAsia="en-US"/>
    </w:rPr>
  </w:style>
  <w:style w:type="paragraph" w:customStyle="1" w:styleId="HeadingBase">
    <w:name w:val="Heading Base"/>
    <w:rsid w:val="00F4036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4036F"/>
    <w:pPr>
      <w:tabs>
        <w:tab w:val="right" w:leader="dot" w:pos="9072"/>
      </w:tabs>
      <w:ind w:left="567"/>
    </w:pPr>
    <w:rPr>
      <w:szCs w:val="22"/>
    </w:rPr>
  </w:style>
  <w:style w:type="paragraph" w:customStyle="1" w:styleId="TOCBase">
    <w:name w:val="TOC Base"/>
    <w:rsid w:val="00F4036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4036F"/>
    <w:pPr>
      <w:tabs>
        <w:tab w:val="right" w:leader="dot" w:pos="9072"/>
      </w:tabs>
      <w:spacing w:before="40" w:after="40"/>
      <w:ind w:left="284"/>
    </w:pPr>
    <w:rPr>
      <w:rFonts w:ascii="Times New Roman" w:hAnsi="Times New Roman"/>
    </w:rPr>
  </w:style>
  <w:style w:type="paragraph" w:styleId="TOC1">
    <w:name w:val="toc 1"/>
    <w:basedOn w:val="TOCBase"/>
    <w:next w:val="Normal"/>
    <w:rsid w:val="00F4036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4036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4036F"/>
    <w:rPr>
      <w:rFonts w:ascii="Times New Roman" w:eastAsia="Times New Roman" w:hAnsi="Times New Roman" w:cs="Times New Roman"/>
      <w:sz w:val="16"/>
      <w:lang w:eastAsia="en-US"/>
    </w:rPr>
  </w:style>
  <w:style w:type="paragraph" w:styleId="Title">
    <w:name w:val="Title"/>
    <w:basedOn w:val="HeadingBase"/>
    <w:link w:val="TitleChar"/>
    <w:qFormat/>
    <w:rsid w:val="00F4036F"/>
    <w:pPr>
      <w:spacing w:before="5040"/>
      <w:jc w:val="center"/>
    </w:pPr>
    <w:rPr>
      <w:sz w:val="48"/>
      <w:szCs w:val="72"/>
      <w:lang w:val="en-US"/>
    </w:rPr>
  </w:style>
  <w:style w:type="character" w:customStyle="1" w:styleId="TitleChar">
    <w:name w:val="Title Char"/>
    <w:basedOn w:val="DefaultParagraphFont"/>
    <w:link w:val="Title"/>
    <w:rsid w:val="00F4036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4036F"/>
    <w:pPr>
      <w:tabs>
        <w:tab w:val="left" w:pos="3600"/>
        <w:tab w:val="left" w:pos="3958"/>
      </w:tabs>
    </w:pPr>
  </w:style>
  <w:style w:type="paragraph" w:styleId="List">
    <w:name w:val="List"/>
    <w:basedOn w:val="BodyText"/>
    <w:next w:val="BodyText"/>
    <w:rsid w:val="00F4036F"/>
    <w:pPr>
      <w:tabs>
        <w:tab w:val="left" w:pos="340"/>
      </w:tabs>
      <w:spacing w:before="60" w:after="60"/>
      <w:ind w:left="340" w:hanging="340"/>
    </w:pPr>
  </w:style>
  <w:style w:type="paragraph" w:customStyle="1" w:styleId="Note">
    <w:name w:val="Note"/>
    <w:basedOn w:val="BodyText"/>
    <w:rsid w:val="00F4036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4036F"/>
    <w:pPr>
      <w:framePr w:wrap="auto" w:hAnchor="text" w:y="6049"/>
    </w:pPr>
    <w:rPr>
      <w:color w:val="000000"/>
      <w:sz w:val="40"/>
    </w:rPr>
  </w:style>
  <w:style w:type="paragraph" w:customStyle="1" w:styleId="TOCTitle">
    <w:name w:val="TOCTitle"/>
    <w:basedOn w:val="Heading1"/>
    <w:rsid w:val="00F4036F"/>
    <w:pPr>
      <w:spacing w:after="240"/>
      <w:jc w:val="center"/>
      <w:outlineLvl w:val="9"/>
    </w:pPr>
    <w:rPr>
      <w:caps/>
    </w:rPr>
  </w:style>
  <w:style w:type="paragraph" w:customStyle="1" w:styleId="Version">
    <w:name w:val="Version"/>
    <w:rsid w:val="00F4036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4036F"/>
    <w:pPr>
      <w:numPr>
        <w:numId w:val="12"/>
      </w:numPr>
      <w:tabs>
        <w:tab w:val="clear" w:pos="680"/>
      </w:tabs>
    </w:pPr>
  </w:style>
  <w:style w:type="paragraph" w:styleId="Index1">
    <w:name w:val="index 1"/>
    <w:basedOn w:val="Normal"/>
    <w:next w:val="Normal"/>
    <w:semiHidden/>
    <w:rsid w:val="00F4036F"/>
    <w:pPr>
      <w:keepNext w:val="0"/>
      <w:tabs>
        <w:tab w:val="right" w:pos="4176"/>
      </w:tabs>
      <w:ind w:left="198" w:hanging="198"/>
    </w:pPr>
    <w:rPr>
      <w:rFonts w:ascii="Garamond" w:hAnsi="Garamond"/>
    </w:rPr>
  </w:style>
  <w:style w:type="paragraph" w:styleId="IndexHeading">
    <w:name w:val="index heading"/>
    <w:basedOn w:val="Normal"/>
    <w:next w:val="Index1"/>
    <w:semiHidden/>
    <w:rsid w:val="00F4036F"/>
    <w:pPr>
      <w:spacing w:before="120" w:after="120"/>
    </w:pPr>
    <w:rPr>
      <w:rFonts w:ascii="Arial" w:hAnsi="Arial"/>
      <w:b/>
      <w:color w:val="918585"/>
      <w:sz w:val="24"/>
    </w:rPr>
  </w:style>
  <w:style w:type="paragraph" w:styleId="Header">
    <w:name w:val="header"/>
    <w:basedOn w:val="Normal"/>
    <w:link w:val="HeaderChar"/>
    <w:rsid w:val="00F4036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4036F"/>
    <w:rPr>
      <w:rFonts w:ascii="Times New Roman" w:eastAsia="Times New Roman" w:hAnsi="Times New Roman" w:cs="Times New Roman"/>
      <w:sz w:val="16"/>
      <w:szCs w:val="20"/>
      <w:lang w:val="en-GB" w:eastAsia="en-US"/>
    </w:rPr>
  </w:style>
  <w:style w:type="paragraph" w:customStyle="1" w:styleId="Chapter">
    <w:name w:val="Chapter"/>
    <w:basedOn w:val="Normal"/>
    <w:rsid w:val="00F4036F"/>
    <w:pPr>
      <w:spacing w:before="240"/>
    </w:pPr>
    <w:rPr>
      <w:rFonts w:ascii="Times New Roman" w:hAnsi="Times New Roman"/>
      <w:smallCaps/>
      <w:spacing w:val="80"/>
      <w:sz w:val="28"/>
    </w:rPr>
  </w:style>
  <w:style w:type="paragraph" w:customStyle="1" w:styleId="InChapter">
    <w:name w:val="InChapter"/>
    <w:basedOn w:val="Heading3"/>
    <w:rsid w:val="00F4036F"/>
    <w:pPr>
      <w:spacing w:after="240"/>
      <w:outlineLvl w:val="9"/>
    </w:pPr>
    <w:rPr>
      <w:noProof/>
    </w:rPr>
  </w:style>
  <w:style w:type="paragraph" w:styleId="Index2">
    <w:name w:val="index 2"/>
    <w:basedOn w:val="Normal"/>
    <w:next w:val="Normal"/>
    <w:semiHidden/>
    <w:rsid w:val="00F4036F"/>
    <w:pPr>
      <w:tabs>
        <w:tab w:val="right" w:pos="4176"/>
      </w:tabs>
      <w:ind w:left="568" w:hanging="284"/>
    </w:pPr>
    <w:rPr>
      <w:rFonts w:ascii="Garamond" w:hAnsi="Garamond"/>
    </w:rPr>
  </w:style>
  <w:style w:type="paragraph" w:customStyle="1" w:styleId="Byline">
    <w:name w:val="Byline"/>
    <w:rsid w:val="00F4036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4036F"/>
    <w:pPr>
      <w:tabs>
        <w:tab w:val="clear" w:pos="3600"/>
        <w:tab w:val="clear" w:pos="3958"/>
      </w:tabs>
      <w:jc w:val="right"/>
    </w:pPr>
  </w:style>
  <w:style w:type="paragraph" w:styleId="Caption">
    <w:name w:val="caption"/>
    <w:basedOn w:val="BodyText"/>
    <w:next w:val="Normal"/>
    <w:qFormat/>
    <w:rsid w:val="00F4036F"/>
    <w:pPr>
      <w:framePr w:w="2268" w:hSpace="181" w:vSpace="181" w:wrap="around" w:vAnchor="text" w:hAnchor="page" w:x="1135" w:y="285" w:anchorLock="1"/>
    </w:pPr>
    <w:rPr>
      <w:i/>
    </w:rPr>
  </w:style>
  <w:style w:type="paragraph" w:customStyle="1" w:styleId="MiniTOCTitle">
    <w:name w:val="MiniTOCTitle"/>
    <w:basedOn w:val="Heading4"/>
    <w:rsid w:val="00F4036F"/>
    <w:pPr>
      <w:spacing w:before="240"/>
      <w:outlineLvl w:val="9"/>
    </w:pPr>
    <w:rPr>
      <w:noProof/>
      <w:sz w:val="24"/>
    </w:rPr>
  </w:style>
  <w:style w:type="paragraph" w:customStyle="1" w:styleId="MiniTOCItem">
    <w:name w:val="MiniTOCItem"/>
    <w:basedOn w:val="ListBullet"/>
    <w:rsid w:val="00F4036F"/>
    <w:pPr>
      <w:numPr>
        <w:numId w:val="0"/>
      </w:numPr>
      <w:tabs>
        <w:tab w:val="right" w:leader="dot" w:pos="6521"/>
      </w:tabs>
      <w:spacing w:before="0" w:after="0"/>
    </w:pPr>
  </w:style>
  <w:style w:type="paragraph" w:customStyle="1" w:styleId="TOFTitle">
    <w:name w:val="TOFTitle"/>
    <w:basedOn w:val="TOCTitle"/>
    <w:rsid w:val="00F4036F"/>
  </w:style>
  <w:style w:type="paragraph" w:styleId="TableofFigures">
    <w:name w:val="table of figures"/>
    <w:basedOn w:val="Normal"/>
    <w:next w:val="Normal"/>
    <w:semiHidden/>
    <w:rsid w:val="00F4036F"/>
    <w:pPr>
      <w:tabs>
        <w:tab w:val="right" w:leader="dot" w:pos="9072"/>
      </w:tabs>
      <w:ind w:left="970" w:hanging="403"/>
    </w:pPr>
    <w:rPr>
      <w:rFonts w:ascii="Times New Roman" w:hAnsi="Times New Roman"/>
      <w:b/>
    </w:rPr>
  </w:style>
  <w:style w:type="paragraph" w:styleId="ListNumber">
    <w:name w:val="List Number"/>
    <w:basedOn w:val="List"/>
    <w:rsid w:val="00F4036F"/>
    <w:pPr>
      <w:numPr>
        <w:numId w:val="14"/>
      </w:numPr>
      <w:tabs>
        <w:tab w:val="clear" w:pos="340"/>
      </w:tabs>
    </w:pPr>
  </w:style>
  <w:style w:type="character" w:customStyle="1" w:styleId="WingdingSymbols">
    <w:name w:val="Wingding Symbols"/>
    <w:rsid w:val="00F4036F"/>
    <w:rPr>
      <w:rFonts w:ascii="Wingdings" w:hAnsi="Wingdings"/>
    </w:rPr>
  </w:style>
  <w:style w:type="paragraph" w:customStyle="1" w:styleId="TableHeading">
    <w:name w:val="Table Heading"/>
    <w:basedOn w:val="HeadingBase"/>
    <w:rsid w:val="00F4036F"/>
    <w:pPr>
      <w:keepLines/>
      <w:pBdr>
        <w:bottom w:val="single" w:sz="6" w:space="1" w:color="918585"/>
      </w:pBdr>
      <w:spacing w:before="240"/>
    </w:pPr>
  </w:style>
  <w:style w:type="character" w:customStyle="1" w:styleId="HotSpot">
    <w:name w:val="HotSpot"/>
    <w:rsid w:val="00F4036F"/>
    <w:rPr>
      <w:color w:val="0033CC"/>
      <w:u w:val="none"/>
    </w:rPr>
  </w:style>
  <w:style w:type="paragraph" w:customStyle="1" w:styleId="BodyTextRight">
    <w:name w:val="Body Text Right"/>
    <w:basedOn w:val="BodyText"/>
    <w:rsid w:val="00F4036F"/>
    <w:pPr>
      <w:spacing w:before="0" w:after="0"/>
      <w:jc w:val="right"/>
    </w:pPr>
  </w:style>
  <w:style w:type="paragraph" w:styleId="Index3">
    <w:name w:val="index 3"/>
    <w:basedOn w:val="ListNumber2"/>
    <w:next w:val="Normal"/>
    <w:semiHidden/>
    <w:rsid w:val="00F4036F"/>
    <w:pPr>
      <w:numPr>
        <w:numId w:val="0"/>
      </w:numPr>
      <w:tabs>
        <w:tab w:val="right" w:leader="dot" w:pos="4176"/>
      </w:tabs>
    </w:pPr>
  </w:style>
  <w:style w:type="paragraph" w:styleId="ListNumber2">
    <w:name w:val="List Number 2"/>
    <w:basedOn w:val="List2"/>
    <w:rsid w:val="00F4036F"/>
    <w:pPr>
      <w:numPr>
        <w:numId w:val="9"/>
      </w:numPr>
      <w:tabs>
        <w:tab w:val="clear" w:pos="1060"/>
      </w:tabs>
    </w:pPr>
  </w:style>
  <w:style w:type="paragraph" w:customStyle="1" w:styleId="MarginNote">
    <w:name w:val="Margin Note"/>
    <w:basedOn w:val="BodyText"/>
    <w:rsid w:val="00F4036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4036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4036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4036F"/>
    <w:rPr>
      <w:sz w:val="32"/>
    </w:rPr>
  </w:style>
  <w:style w:type="paragraph" w:customStyle="1" w:styleId="HeadingProcedure">
    <w:name w:val="Heading Procedure"/>
    <w:basedOn w:val="HeadingBase"/>
    <w:next w:val="Normal"/>
    <w:rsid w:val="00F4036F"/>
    <w:pPr>
      <w:tabs>
        <w:tab w:val="left" w:pos="0"/>
      </w:tabs>
      <w:spacing w:before="120" w:after="60"/>
    </w:pPr>
    <w:rPr>
      <w:i/>
      <w:color w:val="918585"/>
      <w:sz w:val="22"/>
    </w:rPr>
  </w:style>
  <w:style w:type="paragraph" w:customStyle="1" w:styleId="TableBodyText">
    <w:name w:val="Table Body Text"/>
    <w:basedOn w:val="BodyText"/>
    <w:rsid w:val="00F4036F"/>
    <w:pPr>
      <w:spacing w:before="60" w:after="60"/>
    </w:pPr>
  </w:style>
  <w:style w:type="paragraph" w:styleId="ListContinue">
    <w:name w:val="List Continue"/>
    <w:basedOn w:val="List"/>
    <w:rsid w:val="00F4036F"/>
    <w:pPr>
      <w:ind w:firstLine="0"/>
    </w:pPr>
  </w:style>
  <w:style w:type="paragraph" w:customStyle="1" w:styleId="ListNote">
    <w:name w:val="List Note"/>
    <w:basedOn w:val="List"/>
    <w:rsid w:val="00F4036F"/>
    <w:pPr>
      <w:pBdr>
        <w:top w:val="single" w:sz="6" w:space="2" w:color="918585"/>
        <w:bottom w:val="single" w:sz="6" w:space="2" w:color="918585"/>
      </w:pBdr>
      <w:tabs>
        <w:tab w:val="left" w:pos="1021"/>
      </w:tabs>
      <w:ind w:firstLine="0"/>
    </w:pPr>
  </w:style>
  <w:style w:type="paragraph" w:customStyle="1" w:styleId="Warning">
    <w:name w:val="Warning"/>
    <w:basedOn w:val="BodyText"/>
    <w:rsid w:val="00F4036F"/>
    <w:pPr>
      <w:shd w:val="clear" w:color="auto" w:fill="D9D9D9"/>
      <w:tabs>
        <w:tab w:val="left" w:pos="992"/>
      </w:tabs>
      <w:ind w:left="119" w:right="119"/>
    </w:pPr>
    <w:rPr>
      <w:sz w:val="20"/>
    </w:rPr>
  </w:style>
  <w:style w:type="paragraph" w:customStyle="1" w:styleId="MarginIcons">
    <w:name w:val="Margin Icons"/>
    <w:basedOn w:val="BodyText"/>
    <w:rsid w:val="00F4036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4036F"/>
    <w:rPr>
      <w:rFonts w:ascii="Courier New" w:hAnsi="Courier New"/>
    </w:rPr>
  </w:style>
  <w:style w:type="paragraph" w:customStyle="1" w:styleId="NoteBullet">
    <w:name w:val="Note Bullet"/>
    <w:basedOn w:val="Note"/>
    <w:rsid w:val="00F4036F"/>
    <w:pPr>
      <w:tabs>
        <w:tab w:val="clear" w:pos="680"/>
      </w:tabs>
      <w:spacing w:before="60" w:after="60"/>
    </w:pPr>
  </w:style>
  <w:style w:type="paragraph" w:customStyle="1" w:styleId="SubHeading2">
    <w:name w:val="SubHeading2"/>
    <w:basedOn w:val="HeadingBase"/>
    <w:rsid w:val="00F4036F"/>
    <w:pPr>
      <w:spacing w:before="240" w:after="60"/>
    </w:pPr>
    <w:rPr>
      <w:sz w:val="20"/>
    </w:rPr>
  </w:style>
  <w:style w:type="paragraph" w:customStyle="1" w:styleId="SubHeading1">
    <w:name w:val="SubHeading1"/>
    <w:basedOn w:val="HeadingBase"/>
    <w:rsid w:val="00F4036F"/>
    <w:pPr>
      <w:spacing w:before="240" w:after="60"/>
    </w:pPr>
    <w:rPr>
      <w:color w:val="918585"/>
      <w:sz w:val="22"/>
    </w:rPr>
  </w:style>
  <w:style w:type="paragraph" w:customStyle="1" w:styleId="SideHeading">
    <w:name w:val="Side Heading"/>
    <w:basedOn w:val="HeadingBase"/>
    <w:rsid w:val="00F4036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4036F"/>
    <w:pPr>
      <w:numPr>
        <w:numId w:val="10"/>
      </w:numPr>
    </w:pPr>
  </w:style>
  <w:style w:type="paragraph" w:styleId="PlainText">
    <w:name w:val="Plain Text"/>
    <w:basedOn w:val="Normal"/>
    <w:link w:val="PlainTextChar"/>
    <w:rsid w:val="00F4036F"/>
    <w:rPr>
      <w:sz w:val="20"/>
    </w:rPr>
  </w:style>
  <w:style w:type="character" w:customStyle="1" w:styleId="PlainTextChar">
    <w:name w:val="Plain Text Char"/>
    <w:basedOn w:val="DefaultParagraphFont"/>
    <w:link w:val="PlainText"/>
    <w:rsid w:val="00F4036F"/>
    <w:rPr>
      <w:rFonts w:ascii="Courier New" w:eastAsia="Times New Roman" w:hAnsi="Courier New" w:cs="Times New Roman"/>
      <w:sz w:val="20"/>
      <w:szCs w:val="20"/>
      <w:lang w:eastAsia="en-US"/>
    </w:rPr>
  </w:style>
  <w:style w:type="character" w:customStyle="1" w:styleId="MenuOption">
    <w:name w:val="Menu Option"/>
    <w:basedOn w:val="DefaultParagraphFont"/>
    <w:rsid w:val="00F4036F"/>
    <w:rPr>
      <w:b/>
      <w:smallCaps/>
    </w:rPr>
  </w:style>
  <w:style w:type="paragraph" w:customStyle="1" w:styleId="TableListNumber">
    <w:name w:val="Table List Number"/>
    <w:basedOn w:val="ListNumber"/>
    <w:rsid w:val="00F4036F"/>
    <w:pPr>
      <w:numPr>
        <w:numId w:val="0"/>
      </w:numPr>
    </w:pPr>
  </w:style>
  <w:style w:type="paragraph" w:styleId="TOC4">
    <w:name w:val="toc 4"/>
    <w:basedOn w:val="TOCBase"/>
    <w:next w:val="Normal"/>
    <w:semiHidden/>
    <w:rsid w:val="00F4036F"/>
    <w:pPr>
      <w:tabs>
        <w:tab w:val="right" w:leader="dot" w:pos="9071"/>
      </w:tabs>
      <w:ind w:left="1701"/>
    </w:pPr>
  </w:style>
  <w:style w:type="paragraph" w:customStyle="1" w:styleId="ListAlpha">
    <w:name w:val="List Alpha"/>
    <w:basedOn w:val="List"/>
    <w:rsid w:val="00F4036F"/>
    <w:pPr>
      <w:numPr>
        <w:numId w:val="8"/>
      </w:numPr>
    </w:pPr>
  </w:style>
  <w:style w:type="paragraph" w:customStyle="1" w:styleId="ListAlpha2">
    <w:name w:val="List Alpha 2"/>
    <w:basedOn w:val="List2"/>
    <w:rsid w:val="00F4036F"/>
    <w:pPr>
      <w:numPr>
        <w:numId w:val="7"/>
      </w:numPr>
    </w:pPr>
  </w:style>
  <w:style w:type="paragraph" w:styleId="List2">
    <w:name w:val="List 2"/>
    <w:basedOn w:val="BodyText"/>
    <w:rsid w:val="00F4036F"/>
    <w:pPr>
      <w:tabs>
        <w:tab w:val="left" w:pos="680"/>
      </w:tabs>
      <w:spacing w:before="60" w:after="60"/>
      <w:ind w:left="680" w:hanging="340"/>
    </w:pPr>
  </w:style>
  <w:style w:type="paragraph" w:styleId="List3">
    <w:name w:val="List 3"/>
    <w:basedOn w:val="BodyText"/>
    <w:rsid w:val="00F4036F"/>
    <w:pPr>
      <w:tabs>
        <w:tab w:val="left" w:pos="1021"/>
      </w:tabs>
      <w:spacing w:before="60" w:after="60"/>
      <w:ind w:left="1020" w:hanging="340"/>
    </w:pPr>
  </w:style>
  <w:style w:type="paragraph" w:styleId="List4">
    <w:name w:val="List 4"/>
    <w:basedOn w:val="BodyText"/>
    <w:rsid w:val="00F4036F"/>
    <w:pPr>
      <w:tabs>
        <w:tab w:val="left" w:pos="1361"/>
      </w:tabs>
      <w:spacing w:before="60" w:after="60"/>
      <w:ind w:left="1361" w:hanging="340"/>
    </w:pPr>
  </w:style>
  <w:style w:type="paragraph" w:styleId="List5">
    <w:name w:val="List 5"/>
    <w:basedOn w:val="BodyText"/>
    <w:rsid w:val="00F4036F"/>
    <w:pPr>
      <w:tabs>
        <w:tab w:val="left" w:pos="1701"/>
      </w:tabs>
      <w:spacing w:before="60" w:after="60"/>
      <w:ind w:left="1701" w:hanging="340"/>
    </w:pPr>
  </w:style>
  <w:style w:type="paragraph" w:styleId="ListBullet3">
    <w:name w:val="List Bullet 3"/>
    <w:basedOn w:val="List3"/>
    <w:rsid w:val="00F4036F"/>
    <w:pPr>
      <w:numPr>
        <w:numId w:val="13"/>
      </w:numPr>
      <w:tabs>
        <w:tab w:val="clear" w:pos="1021"/>
      </w:tabs>
      <w:ind w:left="1037" w:hanging="357"/>
    </w:pPr>
  </w:style>
  <w:style w:type="paragraph" w:styleId="ListBullet4">
    <w:name w:val="List Bullet 4"/>
    <w:basedOn w:val="List4"/>
    <w:rsid w:val="00F4036F"/>
    <w:pPr>
      <w:numPr>
        <w:numId w:val="2"/>
      </w:numPr>
      <w:tabs>
        <w:tab w:val="clear" w:pos="1361"/>
      </w:tabs>
    </w:pPr>
  </w:style>
  <w:style w:type="paragraph" w:styleId="ListBullet5">
    <w:name w:val="List Bullet 5"/>
    <w:basedOn w:val="List5"/>
    <w:rsid w:val="00F4036F"/>
    <w:pPr>
      <w:numPr>
        <w:numId w:val="3"/>
      </w:numPr>
    </w:pPr>
  </w:style>
  <w:style w:type="paragraph" w:styleId="ListContinue2">
    <w:name w:val="List Continue 2"/>
    <w:basedOn w:val="List2"/>
    <w:rsid w:val="00F4036F"/>
    <w:pPr>
      <w:ind w:firstLine="0"/>
    </w:pPr>
  </w:style>
  <w:style w:type="paragraph" w:styleId="ListContinue3">
    <w:name w:val="List Continue 3"/>
    <w:basedOn w:val="List3"/>
    <w:rsid w:val="00F4036F"/>
    <w:pPr>
      <w:ind w:left="1021" w:firstLine="0"/>
    </w:pPr>
  </w:style>
  <w:style w:type="paragraph" w:styleId="ListContinue4">
    <w:name w:val="List Continue 4"/>
    <w:basedOn w:val="List4"/>
    <w:rsid w:val="00F4036F"/>
    <w:pPr>
      <w:ind w:firstLine="0"/>
    </w:pPr>
  </w:style>
  <w:style w:type="paragraph" w:styleId="ListContinue5">
    <w:name w:val="List Continue 5"/>
    <w:basedOn w:val="List5"/>
    <w:rsid w:val="00F4036F"/>
    <w:pPr>
      <w:ind w:firstLine="0"/>
    </w:pPr>
  </w:style>
  <w:style w:type="paragraph" w:styleId="ListNumber3">
    <w:name w:val="List Number 3"/>
    <w:basedOn w:val="List3"/>
    <w:rsid w:val="00F4036F"/>
    <w:pPr>
      <w:numPr>
        <w:numId w:val="4"/>
      </w:numPr>
    </w:pPr>
  </w:style>
  <w:style w:type="paragraph" w:styleId="ListNumber4">
    <w:name w:val="List Number 4"/>
    <w:basedOn w:val="List4"/>
    <w:rsid w:val="00F4036F"/>
    <w:pPr>
      <w:numPr>
        <w:numId w:val="5"/>
      </w:numPr>
    </w:pPr>
  </w:style>
  <w:style w:type="paragraph" w:styleId="ListNumber5">
    <w:name w:val="List Number 5"/>
    <w:basedOn w:val="List5"/>
    <w:rsid w:val="00F4036F"/>
    <w:pPr>
      <w:numPr>
        <w:numId w:val="6"/>
      </w:numPr>
    </w:pPr>
  </w:style>
  <w:style w:type="paragraph" w:styleId="BlockText">
    <w:name w:val="Block Text"/>
    <w:basedOn w:val="Normal"/>
    <w:rsid w:val="00F4036F"/>
    <w:pPr>
      <w:spacing w:after="120"/>
      <w:ind w:left="1440" w:right="1440"/>
    </w:pPr>
  </w:style>
  <w:style w:type="character" w:customStyle="1" w:styleId="Subscript">
    <w:name w:val="Subscript"/>
    <w:basedOn w:val="DefaultParagraphFont"/>
    <w:rsid w:val="00F4036F"/>
    <w:rPr>
      <w:sz w:val="16"/>
      <w:vertAlign w:val="subscript"/>
    </w:rPr>
  </w:style>
  <w:style w:type="character" w:customStyle="1" w:styleId="Superscript">
    <w:name w:val="Superscript"/>
    <w:basedOn w:val="DefaultParagraphFont"/>
    <w:rsid w:val="00F4036F"/>
    <w:rPr>
      <w:sz w:val="16"/>
      <w:vertAlign w:val="superscript"/>
    </w:rPr>
  </w:style>
  <w:style w:type="character" w:customStyle="1" w:styleId="Symbols">
    <w:name w:val="Symbols"/>
    <w:basedOn w:val="DefaultParagraphFont"/>
    <w:rsid w:val="00F4036F"/>
    <w:rPr>
      <w:rFonts w:ascii="Symbol" w:hAnsi="Symbol"/>
    </w:rPr>
  </w:style>
  <w:style w:type="character" w:customStyle="1" w:styleId="MenuOptions">
    <w:name w:val="Menu Options"/>
    <w:basedOn w:val="DefaultParagraphFont"/>
    <w:rsid w:val="00F4036F"/>
    <w:rPr>
      <w:rFonts w:ascii="Arial Narrow" w:hAnsi="Arial Narrow"/>
      <w:smallCaps/>
    </w:rPr>
  </w:style>
  <w:style w:type="character" w:customStyle="1" w:styleId="Buttons">
    <w:name w:val="Buttons"/>
    <w:basedOn w:val="DefaultParagraphFont"/>
    <w:rsid w:val="00F4036F"/>
    <w:rPr>
      <w:b/>
    </w:rPr>
  </w:style>
  <w:style w:type="character" w:customStyle="1" w:styleId="Underlined">
    <w:name w:val="Underlined"/>
    <w:basedOn w:val="DefaultParagraphFont"/>
    <w:rsid w:val="00F4036F"/>
    <w:rPr>
      <w:u w:val="single"/>
    </w:rPr>
  </w:style>
  <w:style w:type="paragraph" w:customStyle="1" w:styleId="TableBodyTextRight">
    <w:name w:val="Table Body Text Right"/>
    <w:basedOn w:val="TableBodyText"/>
    <w:rsid w:val="00F4036F"/>
    <w:pPr>
      <w:widowControl w:val="0"/>
      <w:autoSpaceDE w:val="0"/>
      <w:autoSpaceDN w:val="0"/>
      <w:adjustRightInd w:val="0"/>
      <w:jc w:val="right"/>
    </w:pPr>
    <w:rPr>
      <w:rFonts w:cs="Arial"/>
      <w:szCs w:val="18"/>
    </w:rPr>
  </w:style>
  <w:style w:type="paragraph" w:customStyle="1" w:styleId="CopyrightText">
    <w:name w:val="Copyright Text"/>
    <w:basedOn w:val="BodyText"/>
    <w:rsid w:val="00F4036F"/>
    <w:rPr>
      <w:sz w:val="18"/>
    </w:rPr>
  </w:style>
  <w:style w:type="paragraph" w:customStyle="1" w:styleId="BodySmallRight">
    <w:name w:val="Body Small Right"/>
    <w:basedOn w:val="BodyTextRight"/>
    <w:rsid w:val="00F4036F"/>
    <w:rPr>
      <w:sz w:val="18"/>
      <w:szCs w:val="18"/>
    </w:rPr>
  </w:style>
  <w:style w:type="paragraph" w:customStyle="1" w:styleId="MarginEdition">
    <w:name w:val="Margin Edition"/>
    <w:basedOn w:val="MarginNote"/>
    <w:rsid w:val="00F4036F"/>
    <w:pPr>
      <w:spacing w:before="0" w:after="0"/>
    </w:pPr>
    <w:rPr>
      <w:rFonts w:ascii="Times New Roman" w:hAnsi="Times New Roman"/>
      <w:color w:val="999999"/>
    </w:rPr>
  </w:style>
  <w:style w:type="paragraph" w:customStyle="1" w:styleId="Spacer">
    <w:name w:val="Spacer"/>
    <w:basedOn w:val="Normal"/>
    <w:rsid w:val="00F4036F"/>
    <w:rPr>
      <w:sz w:val="2"/>
      <w:szCs w:val="2"/>
    </w:rPr>
  </w:style>
  <w:style w:type="character" w:customStyle="1" w:styleId="Small">
    <w:name w:val="Small"/>
    <w:basedOn w:val="DefaultParagraphFont"/>
    <w:rsid w:val="00F4036F"/>
    <w:rPr>
      <w:sz w:val="16"/>
    </w:rPr>
  </w:style>
  <w:style w:type="paragraph" w:customStyle="1" w:styleId="WideTable">
    <w:name w:val="Wide Table"/>
    <w:basedOn w:val="Normal"/>
    <w:rsid w:val="00F4036F"/>
    <w:pPr>
      <w:ind w:left="-1418"/>
    </w:pPr>
    <w:rPr>
      <w:sz w:val="2"/>
      <w:szCs w:val="2"/>
    </w:rPr>
  </w:style>
  <w:style w:type="character" w:styleId="PageNumber">
    <w:name w:val="page number"/>
    <w:basedOn w:val="DefaultParagraphFont"/>
    <w:rsid w:val="00F4036F"/>
  </w:style>
  <w:style w:type="paragraph" w:styleId="Quote">
    <w:name w:val="Quote"/>
    <w:basedOn w:val="Heading1"/>
    <w:link w:val="QuoteChar"/>
    <w:qFormat/>
    <w:rsid w:val="00F4036F"/>
    <w:rPr>
      <w:b w:val="0"/>
      <w:sz w:val="72"/>
      <w:szCs w:val="72"/>
      <w:lang w:val="en-NZ"/>
    </w:rPr>
  </w:style>
  <w:style w:type="character" w:customStyle="1" w:styleId="QuoteChar">
    <w:name w:val="Quote Char"/>
    <w:basedOn w:val="DefaultParagraphFont"/>
    <w:link w:val="Quote"/>
    <w:rsid w:val="00F4036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4036F"/>
    <w:pPr>
      <w:pageBreakBefore/>
    </w:pPr>
  </w:style>
  <w:style w:type="paragraph" w:customStyle="1" w:styleId="Border">
    <w:name w:val="Border"/>
    <w:basedOn w:val="Normal"/>
    <w:qFormat/>
    <w:rsid w:val="00F4036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4036F"/>
    <w:rPr>
      <w:b/>
      <w:bCs/>
      <w:i/>
      <w:iCs/>
      <w:color w:val="auto"/>
    </w:rPr>
  </w:style>
  <w:style w:type="paragraph" w:styleId="IntenseQuote">
    <w:name w:val="Intense Quote"/>
    <w:basedOn w:val="Normal"/>
    <w:next w:val="Normal"/>
    <w:link w:val="IntenseQuoteChar"/>
    <w:uiPriority w:val="30"/>
    <w:qFormat/>
    <w:rsid w:val="00F4036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4036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4036F"/>
    <w:rPr>
      <w:smallCaps/>
      <w:color w:val="auto"/>
      <w:u w:val="single"/>
    </w:rPr>
  </w:style>
  <w:style w:type="character" w:styleId="IntenseReference">
    <w:name w:val="Intense Reference"/>
    <w:basedOn w:val="DefaultParagraphFont"/>
    <w:uiPriority w:val="32"/>
    <w:qFormat/>
    <w:rsid w:val="00F4036F"/>
    <w:rPr>
      <w:b/>
      <w:bCs/>
      <w:smallCaps/>
      <w:color w:val="auto"/>
      <w:spacing w:val="5"/>
      <w:u w:val="single"/>
    </w:rPr>
  </w:style>
  <w:style w:type="paragraph" w:customStyle="1" w:styleId="2ColumnHeading">
    <w:name w:val="2Column Heading"/>
    <w:basedOn w:val="BodyText"/>
    <w:qFormat/>
    <w:rsid w:val="00F4036F"/>
    <w:pPr>
      <w:spacing w:after="60"/>
      <w:ind w:left="-2268"/>
    </w:pPr>
    <w:rPr>
      <w:b/>
    </w:rPr>
  </w:style>
  <w:style w:type="paragraph" w:customStyle="1" w:styleId="Heading1TOC">
    <w:name w:val="Heading1 TOC"/>
    <w:basedOn w:val="Normal"/>
    <w:qFormat/>
    <w:rsid w:val="00F4036F"/>
    <w:pPr>
      <w:spacing w:before="240" w:after="120"/>
    </w:pPr>
    <w:rPr>
      <w:rFonts w:ascii="Times New Roman" w:hAnsi="Times New Roman"/>
      <w:b/>
      <w:sz w:val="32"/>
    </w:rPr>
  </w:style>
  <w:style w:type="paragraph" w:customStyle="1" w:styleId="Heading2TOC">
    <w:name w:val="Heading2 TOC"/>
    <w:basedOn w:val="Normal"/>
    <w:qFormat/>
    <w:rsid w:val="00F4036F"/>
    <w:pPr>
      <w:spacing w:before="240" w:after="60"/>
    </w:pPr>
    <w:rPr>
      <w:rFonts w:ascii="Times New Roman" w:hAnsi="Times New Roman"/>
      <w:b/>
      <w:sz w:val="28"/>
    </w:rPr>
  </w:style>
  <w:style w:type="character" w:customStyle="1" w:styleId="Underline">
    <w:name w:val="Underline"/>
    <w:basedOn w:val="DefaultParagraphFont"/>
    <w:qFormat/>
    <w:rsid w:val="00F4036F"/>
    <w:rPr>
      <w:u w:val="single"/>
    </w:rPr>
  </w:style>
  <w:style w:type="character" w:customStyle="1" w:styleId="BoldandItalics">
    <w:name w:val="Bold and Italics"/>
    <w:qFormat/>
    <w:rsid w:val="00F4036F"/>
    <w:rPr>
      <w:b/>
      <w:i/>
      <w:u w:val="none"/>
    </w:rPr>
  </w:style>
  <w:style w:type="paragraph" w:styleId="BalloonText">
    <w:name w:val="Balloon Text"/>
    <w:basedOn w:val="Normal"/>
    <w:link w:val="BalloonTextChar"/>
    <w:rsid w:val="00F4036F"/>
    <w:rPr>
      <w:rFonts w:ascii="Tahoma" w:hAnsi="Tahoma" w:cs="Tahoma"/>
      <w:sz w:val="16"/>
      <w:szCs w:val="16"/>
    </w:rPr>
  </w:style>
  <w:style w:type="character" w:customStyle="1" w:styleId="BalloonTextChar">
    <w:name w:val="Balloon Text Char"/>
    <w:basedOn w:val="DefaultParagraphFont"/>
    <w:link w:val="BalloonText"/>
    <w:rsid w:val="00F4036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4036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4036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4036F"/>
    <w:rPr>
      <w:b/>
      <w:color w:val="660033"/>
      <w:spacing w:val="0"/>
    </w:rPr>
  </w:style>
  <w:style w:type="paragraph" w:customStyle="1" w:styleId="Nameditemlist">
    <w:name w:val="Named item list"/>
    <w:basedOn w:val="BodyText"/>
    <w:qFormat/>
    <w:rsid w:val="00F4036F"/>
    <w:pPr>
      <w:tabs>
        <w:tab w:val="left" w:pos="2835"/>
      </w:tabs>
      <w:ind w:left="2835" w:hanging="2835"/>
    </w:pPr>
  </w:style>
  <w:style w:type="paragraph" w:customStyle="1" w:styleId="BodyTextnopadding">
    <w:name w:val="Body Text no padding"/>
    <w:basedOn w:val="BodyText"/>
    <w:qFormat/>
    <w:rsid w:val="00F4036F"/>
    <w:pPr>
      <w:spacing w:before="0" w:after="0"/>
    </w:pPr>
  </w:style>
  <w:style w:type="paragraph" w:customStyle="1" w:styleId="BodyTextBold">
    <w:name w:val="Body Text Bold"/>
    <w:basedOn w:val="BodyText"/>
    <w:qFormat/>
    <w:rsid w:val="00F4036F"/>
    <w:rPr>
      <w:b/>
    </w:rPr>
  </w:style>
  <w:style w:type="character" w:styleId="Hyperlink">
    <w:name w:val="Hyperlink"/>
    <w:basedOn w:val="DefaultParagraphFont"/>
    <w:uiPriority w:val="99"/>
    <w:unhideWhenUsed/>
    <w:rsid w:val="003753A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1027</Words>
  <Characters>6903</Characters>
  <Application>Microsoft Office Word</Application>
  <DocSecurity>0</DocSecurity>
  <Lines>215</Lines>
  <Paragraphs>134</Paragraphs>
  <ScaleCrop>false</ScaleCrop>
  <Company>Author-it Software Corporation Ltd.</Company>
  <LinksUpToDate>false</LinksUpToDate>
  <CharactersWithSpaces>7796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TLIL4021 Coordinate the erection and dismantling of temporary storage facilities</dc:title>
  <dc:subject>Approved</dc:subject>
  <dc:creator>Industry Skills Australia</dc:creator>
  <cp:keywords>Release: 1</cp:keywords>
  <dc:description>Review Date: 12 April 2008</dc:description>
  <cp:lastModifiedBy>HSD_TPCMSd.prod</cp:lastModifiedBy>
  <cp:revision>3</cp:revision>
  <dcterms:created xsi:type="dcterms:W3CDTF">2025-03-01T21:00:00Z</dcterms:created>
  <dcterms:modified xsi:type="dcterms:W3CDTF">2025-03-01T21:00:00Z</dcterms:modified>
</cp:coreProperties>
</file>