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2EA" w:rsidP="00CF2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TLIL3084 Implement a local possession authority</w:t>
      </w:r>
      <w:r>
        <w:fldChar w:fldCharType="end"/>
      </w:r>
    </w:p>
    <w:p w:rsidR="00CF22EA" w:rsidP="00CF22EA">
      <w:pPr>
        <w:pStyle w:val="Version"/>
        <w:sectPr w:rsidSect="00FF4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43F9" w:rsidP="00FF43F9">
      <w:pPr>
        <w:pStyle w:val="SuperHeading"/>
      </w:pPr>
      <w:r w:rsidRPr="00FF43F9">
        <w:t>TLIL3084 Implement a local possession authority</w:t>
      </w:r>
    </w:p>
    <w:p w:rsidR="00000000" w:rsidRPr="00FF43F9" w:rsidP="00FF43F9">
      <w:pPr>
        <w:pStyle w:val="Heading1"/>
      </w:pPr>
      <w:bookmarkStart w:id="1" w:name="O_1195646"/>
      <w:bookmarkEnd w:id="1"/>
      <w:r w:rsidRPr="00FF43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Release 2</w:t>
            </w:r>
            <w:r w:rsidRPr="00FF43F9">
              <w:t>. This is the second release of this unit of competency in the TLI Transport and Logistics Training Package:</w:t>
            </w:r>
          </w:p>
          <w:p w:rsidR="00000000" w:rsidP="00FF43F9">
            <w:pPr>
              <w:pStyle w:val="ListBullet"/>
              <w:rPr>
                <w:lang w:val="en-NZ"/>
              </w:rPr>
            </w:pPr>
            <w:r w:rsidRPr="00FF43F9">
              <w:t>Minor statement changes in Assessment Conditions.</w:t>
            </w:r>
          </w:p>
        </w:tc>
      </w:tr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Release 1</w:t>
            </w:r>
            <w:r w:rsidRPr="00FF43F9">
              <w:t>. This is the first release of this unit of com</w:t>
            </w:r>
            <w:r w:rsidRPr="00FF43F9">
              <w:t>petency in the TLI Transport and Logistics Training Package.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2" w:name="O_1195645"/>
      <w:bookmarkEnd w:id="2"/>
      <w:r w:rsidRPr="00FF43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This unit involves the skills and knowledge required to apply local possession authority (LPA) protection for the infrastructure and/or work groups on a rail ne</w:t>
            </w:r>
            <w:r w:rsidRPr="00FF43F9">
              <w:t>twork during rail work activities using an electronic or manual documentation system, in accordance with Rail Infrastructure Manager, legislative and regulatory requirements.</w:t>
            </w:r>
          </w:p>
          <w:p w:rsidR="00000000" w:rsidRPr="00FF43F9" w:rsidP="00FF43F9">
            <w:pPr>
              <w:pStyle w:val="BodyText"/>
            </w:pPr>
            <w:r w:rsidRPr="00FF43F9">
              <w:t>People achieving competence in this unit will need to fulfil the applicable state</w:t>
            </w:r>
            <w:r w:rsidRPr="00FF43F9">
              <w:t>/territory legislated rail safety requirements and to comply with relevant codes of practice and/or guidelines.</w:t>
            </w:r>
          </w:p>
          <w:p w:rsidR="00000000" w:rsidRPr="00FF43F9" w:rsidP="00FF43F9">
            <w:pPr>
              <w:pStyle w:val="BodyText"/>
            </w:pPr>
            <w:r w:rsidRPr="00FF43F9">
              <w:t>The unit includes the application of Rail Infrastructure Manager system of safeworking, rules, procedures and protocols for rail safety but does</w:t>
            </w:r>
            <w:r w:rsidRPr="00FF43F9">
              <w:t xml:space="preserve"> not include the implementation of worksite protection.</w:t>
            </w:r>
          </w:p>
          <w:p w:rsidR="00000000" w:rsidRPr="00FF43F9" w:rsidP="00FF43F9">
            <w:pPr>
              <w:pStyle w:val="BodyText"/>
            </w:pPr>
            <w:r w:rsidRPr="00FF43F9">
              <w:t>No licensing, legislative or certification requirements apply to this unit at the time of publication.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3" w:name="O_1195644"/>
      <w:bookmarkEnd w:id="3"/>
      <w:r w:rsidRPr="00FF43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Not applicable.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4" w:name="O_1195643"/>
      <w:bookmarkEnd w:id="4"/>
      <w:r w:rsidRPr="00FF43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L – Resource Management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5" w:name="O_1195642"/>
      <w:bookmarkEnd w:id="5"/>
      <w:r w:rsidRPr="00FF43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Rail sector.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6" w:name="O_1195641"/>
      <w:bookmarkEnd w:id="6"/>
      <w:r w:rsidRPr="00FF43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6"/>
        <w:gridCol w:w="2033"/>
        <w:gridCol w:w="543"/>
        <w:gridCol w:w="6184"/>
      </w:tblGrid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 xml:space="preserve">Elements describe the </w:t>
            </w:r>
            <w:r w:rsidRPr="00FF43F9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 xml:space="preserve">Performance criteria describe the performance needed to demonstrate </w:t>
            </w:r>
            <w:r w:rsidRPr="00FF43F9">
              <w:t>achievement of the element.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Plan for local possession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Worksite protection plan is developed to determine LPA worksite protection arrangements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Work</w:t>
            </w:r>
            <w:r w:rsidRPr="00FF43F9">
              <w:t xml:space="preserve"> group supervisor is advised of advertised approval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Resources are organised to provide adequate protection for infrastructure and work group during rail work activity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Implement local possession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Permission to implement LPA is request</w:t>
            </w:r>
            <w:r w:rsidRPr="00FF43F9">
              <w:t>ed from network control officer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Resources to provide protection for LPA are deployed in accordance with worksite protection plan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Work group supervisor is advised that LPA has been issued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Adjustments to LPA are negotiated with network control officer, as required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Each worksite within the LPA is provided with a protection officer while work is being performed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Multiple worksites are protected in accordance with worksite protection plan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Rail traffic movements between worksites and within LPA limits are coordinated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Authorisation is given to rail traffic entering the LPA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Fulfil local possession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Confirmation is obtained from work group supervisor that work activity is completed and track is safe for rail traffic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Resources used to provide protection are removed in accordance with advertised approval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LPA is fulfilled for entire portion of track included within the LPA or is fulfilled progressively for one or more portions of track included in the LPA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Arrangements are made for work to continue under another work on track authority, as required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rPr>
                <w:rStyle w:val="SpecialBold"/>
              </w:rPr>
              <w:t>Manage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Unsafe situations and/or emergencies are identified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>Work group is instructed to move to a safe place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t xml:space="preserve">Appropriate action is taken to minimise risk and/or injury in </w:t>
            </w:r>
            <w:r w:rsidRPr="00FF43F9">
              <w:t>accordance with workplace procedures</w:t>
            </w:r>
          </w:p>
        </w:tc>
      </w:tr>
      <w:tr w:rsidTr="00CF22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F9">
            <w:pPr>
              <w:pStyle w:val="BodyText"/>
              <w:rPr>
                <w:lang w:val="en-NZ"/>
              </w:rPr>
            </w:pPr>
            <w:r w:rsidRPr="00FF43F9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Emergencies and/or incidents are recorded and reported to relevant personnel in accordance with workplace procedures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7" w:name="O_1195640"/>
      <w:bookmarkEnd w:id="7"/>
      <w:r w:rsidRPr="00FF43F9">
        <w:t>Foundation</w:t>
      </w:r>
      <w:r w:rsidRPr="00FF43F9">
        <w:t xml:space="preserve">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Foundation skills essential to performance are explicit in the performance criteria of this unit of competency.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8" w:name="O_1195639"/>
      <w:bookmarkEnd w:id="8"/>
      <w:r w:rsidRPr="00FF43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Range is restricted to essential operating conditions and any other variables essential to the work environment.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9" w:name="O_1195638"/>
      <w:bookmarkEnd w:id="9"/>
      <w:r w:rsidRPr="00FF43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3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F9" w:rsidP="00FF43F9">
            <w:pPr>
              <w:pStyle w:val="BodyText"/>
            </w:pPr>
            <w:r w:rsidRPr="00FF43F9">
              <w:t>This unit replaces and is equivalent to TLIL3084A Implement a local possession authority.</w:t>
            </w:r>
          </w:p>
        </w:tc>
      </w:tr>
    </w:tbl>
    <w:p w:rsidR="00CF22EA" w:rsidP="00FF43F9">
      <w:pPr>
        <w:pStyle w:val="NoPaddingFontSize1"/>
      </w:pPr>
    </w:p>
    <w:p w:rsidR="00CF22EA" w:rsidP="00FF43F9">
      <w:pPr>
        <w:pStyle w:val="NoPaddingFontSize1"/>
      </w:pPr>
    </w:p>
    <w:p w:rsidR="00000000" w:rsidRPr="00FF43F9" w:rsidP="00FF43F9">
      <w:pPr>
        <w:pStyle w:val="Heading1"/>
      </w:pPr>
      <w:bookmarkStart w:id="10" w:name="O_1195647"/>
      <w:bookmarkEnd w:id="10"/>
      <w:r w:rsidRPr="00FF43F9">
        <w:t>Links</w:t>
      </w:r>
    </w:p>
    <w:p w:rsidR="00000000" w:rsidRPr="00FF43F9" w:rsidP="00CF22EA">
      <w:pPr>
        <w:pStyle w:val="BodyText"/>
      </w:pPr>
      <w:r w:rsidRPr="00FF43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E78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43F9" w:rsidP="00FF43F9"/>
    <w:sectPr w:rsidSect="00FF43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 w:rsidRPr="00CF22EA" w:rsidP="00CF2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A" w:rsidP="00FF4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2EA" w:rsidP="00FF4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22EA" w:rsidP="00FF4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3F9" w:rsidRPr="00CF22EA" w:rsidP="00CF2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A" w:rsidRPr="002D2AF8" w:rsidP="00FF4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TLIL3084 Implement a local possession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22EA" w:rsidP="00FF4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C05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E04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3F9"/>
  </w:style>
  <w:style w:type="character" w:customStyle="1" w:styleId="Heading1Char">
    <w:name w:val="Heading 1 Char"/>
    <w:basedOn w:val="DefaultParagraphFont"/>
    <w:link w:val="Heading1"/>
    <w:rsid w:val="00FF4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3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3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3F9"/>
    <w:rPr>
      <w:b/>
      <w:spacing w:val="0"/>
    </w:rPr>
  </w:style>
  <w:style w:type="paragraph" w:customStyle="1" w:styleId="SuperHeading">
    <w:name w:val="SuperHeading"/>
    <w:basedOn w:val="Normal"/>
    <w:rsid w:val="00FF4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4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3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3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3F9"/>
    <w:rPr>
      <w:i/>
    </w:rPr>
  </w:style>
  <w:style w:type="paragraph" w:styleId="Caption">
    <w:name w:val="caption"/>
    <w:basedOn w:val="BodyText"/>
    <w:next w:val="Normal"/>
    <w:qFormat/>
    <w:rsid w:val="00FF4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3F9"/>
  </w:style>
  <w:style w:type="paragraph" w:styleId="TableofFigures">
    <w:name w:val="table of figures"/>
    <w:basedOn w:val="Normal"/>
    <w:next w:val="Normal"/>
    <w:semiHidden/>
    <w:rsid w:val="00FF4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3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3F9"/>
    <w:rPr>
      <w:rFonts w:ascii="Wingdings" w:hAnsi="Wingdings"/>
    </w:rPr>
  </w:style>
  <w:style w:type="paragraph" w:customStyle="1" w:styleId="TableHeading">
    <w:name w:val="Table Heading"/>
    <w:basedOn w:val="HeadingBase"/>
    <w:rsid w:val="00FF4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3F9"/>
    <w:rPr>
      <w:color w:val="0033CC"/>
      <w:u w:val="none"/>
    </w:rPr>
  </w:style>
  <w:style w:type="paragraph" w:customStyle="1" w:styleId="BodyTextRight">
    <w:name w:val="Body Text Right"/>
    <w:basedOn w:val="BodyText"/>
    <w:rsid w:val="00FF4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3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3F9"/>
    <w:rPr>
      <w:sz w:val="32"/>
    </w:rPr>
  </w:style>
  <w:style w:type="paragraph" w:customStyle="1" w:styleId="HeadingProcedure">
    <w:name w:val="Heading Procedure"/>
    <w:basedOn w:val="HeadingBase"/>
    <w:next w:val="Normal"/>
    <w:rsid w:val="00FF4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3F9"/>
    <w:pPr>
      <w:spacing w:before="60" w:after="60"/>
    </w:pPr>
  </w:style>
  <w:style w:type="paragraph" w:styleId="ListContinue">
    <w:name w:val="List Continue"/>
    <w:basedOn w:val="List"/>
    <w:rsid w:val="00FF43F9"/>
    <w:pPr>
      <w:ind w:firstLine="0"/>
    </w:pPr>
  </w:style>
  <w:style w:type="paragraph" w:customStyle="1" w:styleId="ListNote">
    <w:name w:val="List Note"/>
    <w:basedOn w:val="List"/>
    <w:rsid w:val="00FF4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3F9"/>
    <w:rPr>
      <w:rFonts w:ascii="Courier New" w:hAnsi="Courier New"/>
    </w:rPr>
  </w:style>
  <w:style w:type="paragraph" w:customStyle="1" w:styleId="NoteBullet">
    <w:name w:val="Note Bullet"/>
    <w:basedOn w:val="Note"/>
    <w:rsid w:val="00FF4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3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3F9"/>
    <w:rPr>
      <w:b/>
      <w:smallCaps/>
    </w:rPr>
  </w:style>
  <w:style w:type="paragraph" w:customStyle="1" w:styleId="TableListNumber">
    <w:name w:val="Table List Number"/>
    <w:basedOn w:val="ListNumber"/>
    <w:rsid w:val="00FF4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3F9"/>
    <w:pPr>
      <w:numPr>
        <w:numId w:val="8"/>
      </w:numPr>
    </w:pPr>
  </w:style>
  <w:style w:type="paragraph" w:customStyle="1" w:styleId="ListAlpha2">
    <w:name w:val="List Alpha 2"/>
    <w:basedOn w:val="List2"/>
    <w:rsid w:val="00FF43F9"/>
    <w:pPr>
      <w:numPr>
        <w:numId w:val="7"/>
      </w:numPr>
    </w:pPr>
  </w:style>
  <w:style w:type="paragraph" w:styleId="List2">
    <w:name w:val="List 2"/>
    <w:basedOn w:val="BodyText"/>
    <w:rsid w:val="00FF4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3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3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3F9"/>
    <w:pPr>
      <w:numPr>
        <w:numId w:val="3"/>
      </w:numPr>
    </w:pPr>
  </w:style>
  <w:style w:type="paragraph" w:styleId="ListContinue2">
    <w:name w:val="List Continue 2"/>
    <w:basedOn w:val="List2"/>
    <w:rsid w:val="00FF43F9"/>
    <w:pPr>
      <w:ind w:firstLine="0"/>
    </w:pPr>
  </w:style>
  <w:style w:type="paragraph" w:styleId="ListContinue3">
    <w:name w:val="List Continue 3"/>
    <w:basedOn w:val="List3"/>
    <w:rsid w:val="00FF43F9"/>
    <w:pPr>
      <w:ind w:left="1021" w:firstLine="0"/>
    </w:pPr>
  </w:style>
  <w:style w:type="paragraph" w:styleId="ListContinue4">
    <w:name w:val="List Continue 4"/>
    <w:basedOn w:val="List4"/>
    <w:rsid w:val="00FF43F9"/>
    <w:pPr>
      <w:ind w:firstLine="0"/>
    </w:pPr>
  </w:style>
  <w:style w:type="paragraph" w:styleId="ListContinue5">
    <w:name w:val="List Continue 5"/>
    <w:basedOn w:val="List5"/>
    <w:rsid w:val="00FF43F9"/>
    <w:pPr>
      <w:ind w:firstLine="0"/>
    </w:pPr>
  </w:style>
  <w:style w:type="paragraph" w:styleId="ListNumber3">
    <w:name w:val="List Number 3"/>
    <w:basedOn w:val="List3"/>
    <w:rsid w:val="00FF43F9"/>
    <w:pPr>
      <w:numPr>
        <w:numId w:val="4"/>
      </w:numPr>
    </w:pPr>
  </w:style>
  <w:style w:type="paragraph" w:styleId="ListNumber4">
    <w:name w:val="List Number 4"/>
    <w:basedOn w:val="List4"/>
    <w:rsid w:val="00FF43F9"/>
    <w:pPr>
      <w:numPr>
        <w:numId w:val="5"/>
      </w:numPr>
    </w:pPr>
  </w:style>
  <w:style w:type="paragraph" w:styleId="ListNumber5">
    <w:name w:val="List Number 5"/>
    <w:basedOn w:val="List5"/>
    <w:rsid w:val="00FF43F9"/>
    <w:pPr>
      <w:numPr>
        <w:numId w:val="6"/>
      </w:numPr>
    </w:pPr>
  </w:style>
  <w:style w:type="paragraph" w:styleId="BlockText">
    <w:name w:val="Block Text"/>
    <w:basedOn w:val="Normal"/>
    <w:rsid w:val="00FF4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3F9"/>
    <w:rPr>
      <w:sz w:val="16"/>
      <w:vertAlign w:val="superscript"/>
    </w:rPr>
  </w:style>
  <w:style w:type="character" w:customStyle="1" w:styleId="Symbols">
    <w:name w:val="Symbols"/>
    <w:basedOn w:val="DefaultParagraphFont"/>
    <w:rsid w:val="00FF43F9"/>
    <w:rPr>
      <w:rFonts w:ascii="Symbol" w:hAnsi="Symbol"/>
    </w:rPr>
  </w:style>
  <w:style w:type="character" w:customStyle="1" w:styleId="MenuOptions">
    <w:name w:val="Menu Options"/>
    <w:basedOn w:val="DefaultParagraphFont"/>
    <w:rsid w:val="00FF4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3F9"/>
    <w:rPr>
      <w:b/>
    </w:rPr>
  </w:style>
  <w:style w:type="character" w:customStyle="1" w:styleId="Underlined">
    <w:name w:val="Underlined"/>
    <w:basedOn w:val="DefaultParagraphFont"/>
    <w:rsid w:val="00FF43F9"/>
    <w:rPr>
      <w:u w:val="single"/>
    </w:rPr>
  </w:style>
  <w:style w:type="paragraph" w:customStyle="1" w:styleId="TableBodyTextRight">
    <w:name w:val="Table Body Text Right"/>
    <w:basedOn w:val="TableBodyText"/>
    <w:rsid w:val="00FF4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3F9"/>
    <w:rPr>
      <w:sz w:val="18"/>
    </w:rPr>
  </w:style>
  <w:style w:type="paragraph" w:customStyle="1" w:styleId="BodySmallRight">
    <w:name w:val="Body Small Right"/>
    <w:basedOn w:val="BodyTextRight"/>
    <w:rsid w:val="00FF43F9"/>
    <w:rPr>
      <w:sz w:val="18"/>
      <w:szCs w:val="18"/>
    </w:rPr>
  </w:style>
  <w:style w:type="paragraph" w:customStyle="1" w:styleId="MarginEdition">
    <w:name w:val="Margin Edition"/>
    <w:basedOn w:val="MarginNote"/>
    <w:rsid w:val="00FF4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3F9"/>
    <w:rPr>
      <w:sz w:val="2"/>
      <w:szCs w:val="2"/>
    </w:rPr>
  </w:style>
  <w:style w:type="character" w:customStyle="1" w:styleId="Small">
    <w:name w:val="Small"/>
    <w:basedOn w:val="DefaultParagraphFont"/>
    <w:rsid w:val="00FF43F9"/>
    <w:rPr>
      <w:sz w:val="16"/>
    </w:rPr>
  </w:style>
  <w:style w:type="paragraph" w:customStyle="1" w:styleId="WideTable">
    <w:name w:val="Wide Table"/>
    <w:basedOn w:val="Normal"/>
    <w:rsid w:val="00FF4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3F9"/>
  </w:style>
  <w:style w:type="paragraph" w:styleId="Quote">
    <w:name w:val="Quote"/>
    <w:basedOn w:val="Heading1"/>
    <w:link w:val="QuoteChar"/>
    <w:qFormat/>
    <w:rsid w:val="00FF4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3F9"/>
    <w:pPr>
      <w:pageBreakBefore/>
    </w:pPr>
  </w:style>
  <w:style w:type="paragraph" w:customStyle="1" w:styleId="Border">
    <w:name w:val="Border"/>
    <w:basedOn w:val="Normal"/>
    <w:qFormat/>
    <w:rsid w:val="00FF4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3F9"/>
    <w:rPr>
      <w:u w:val="single"/>
    </w:rPr>
  </w:style>
  <w:style w:type="character" w:customStyle="1" w:styleId="BoldandItalics">
    <w:name w:val="Bold and Italics"/>
    <w:qFormat/>
    <w:rsid w:val="00FF43F9"/>
    <w:rPr>
      <w:b/>
      <w:i/>
      <w:u w:val="none"/>
    </w:rPr>
  </w:style>
  <w:style w:type="paragraph" w:styleId="BalloonText">
    <w:name w:val="Balloon Text"/>
    <w:basedOn w:val="Normal"/>
    <w:link w:val="BalloonTextChar"/>
    <w:rsid w:val="00FF4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3F9"/>
    <w:pPr>
      <w:spacing w:before="0" w:after="0"/>
    </w:pPr>
  </w:style>
  <w:style w:type="paragraph" w:customStyle="1" w:styleId="BodyTextBold">
    <w:name w:val="Body Text Bold"/>
    <w:basedOn w:val="BodyText"/>
    <w:qFormat/>
    <w:rsid w:val="00FF43F9"/>
    <w:rPr>
      <w:b/>
    </w:rPr>
  </w:style>
  <w:style w:type="character" w:styleId="Hyperlink">
    <w:name w:val="Hyperlink"/>
    <w:basedOn w:val="DefaultParagraphFont"/>
    <w:uiPriority w:val="99"/>
    <w:unhideWhenUsed/>
    <w:rsid w:val="00CF2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3581</Characters>
  <Application>Microsoft Office Word</Application>
  <DocSecurity>0</DocSecurity>
  <Lines>179</Lines>
  <Paragraphs>92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TLIL3084 Implement a local possession authority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