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073" w:rsidP="00E63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TLIL3083 Implement a track work authority and manage rail traffic through worksites</w:t>
      </w:r>
      <w:r>
        <w:fldChar w:fldCharType="end"/>
      </w:r>
    </w:p>
    <w:p w:rsidR="00E63073" w:rsidP="00E63073">
      <w:pPr>
        <w:pStyle w:val="Version"/>
        <w:sectPr w:rsidSect="000C3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882" w:rsidP="000C3882">
      <w:pPr>
        <w:pStyle w:val="SuperHeading"/>
      </w:pPr>
      <w:r w:rsidRPr="000C3882">
        <w:t>TLIL3083 Implement a track work authority and manage rail traffic through worksites</w:t>
      </w:r>
    </w:p>
    <w:p w:rsidR="00000000" w:rsidRPr="000C3882" w:rsidP="000C3882">
      <w:pPr>
        <w:pStyle w:val="Heading1"/>
      </w:pPr>
      <w:bookmarkStart w:id="1" w:name="O_1195664"/>
      <w:bookmarkEnd w:id="1"/>
      <w:r w:rsidRPr="000C38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Release 2</w:t>
            </w:r>
            <w:r w:rsidRPr="000C3882">
              <w:t>. This is the second release of this unit of competency in the TLI Transport and Logistics Training Package:</w:t>
            </w:r>
          </w:p>
          <w:p w:rsidR="00000000" w:rsidRPr="000C3882" w:rsidP="000C3882">
            <w:pPr>
              <w:pStyle w:val="ListBullet"/>
            </w:pPr>
            <w:r w:rsidRPr="000C3882">
              <w:t>Minor statement changes in Performance Evidence</w:t>
            </w:r>
          </w:p>
          <w:p w:rsidR="00000000" w:rsidRPr="000C3882" w:rsidP="000C3882">
            <w:pPr>
              <w:pStyle w:val="ListBullet"/>
            </w:pPr>
            <w:r w:rsidRPr="000C3882">
              <w:t>Minor statement changes in Knowledge Evidence</w:t>
            </w:r>
          </w:p>
          <w:p w:rsidR="00000000" w:rsidP="000C3882">
            <w:pPr>
              <w:pStyle w:val="ListBullet"/>
              <w:rPr>
                <w:lang w:val="en-NZ"/>
              </w:rPr>
            </w:pPr>
            <w:r w:rsidRPr="000C3882">
              <w:t>Minor statement changes in Assessment Conditions.</w:t>
            </w:r>
          </w:p>
        </w:tc>
      </w:tr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Release 1</w:t>
            </w:r>
            <w:r w:rsidRPr="000C3882">
              <w:t>. This is the first release of this unit of competency in the TLI Transport and Logistics Training Pac</w:t>
            </w:r>
            <w:r w:rsidRPr="000C3882">
              <w:t>kage.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2" w:name="O_1195663"/>
      <w:bookmarkEnd w:id="2"/>
      <w:r w:rsidRPr="000C38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 xml:space="preserve">This unit describes the skills and knowledge required to implement a track work authority (TWA) and manage rail traffic through worksites in accordance with Rail Infrastructure Manager system of safeworking, rules, </w:t>
            </w:r>
            <w:r w:rsidRPr="000C3882">
              <w:t xml:space="preserve">procedures and protocols for rail safety. </w:t>
            </w:r>
          </w:p>
          <w:p w:rsidR="00000000" w:rsidRPr="000C3882" w:rsidP="000C3882">
            <w:pPr>
              <w:pStyle w:val="BodyText"/>
            </w:pPr>
            <w:r w:rsidRPr="000C3882">
              <w:t>It includes preparing for a TWA, managing rail traffic, fulfilling a TWA and managing unsafe situations or emergencies.</w:t>
            </w:r>
          </w:p>
          <w:p w:rsidR="00000000" w:rsidRPr="000C3882" w:rsidP="000C3882">
            <w:pPr>
              <w:pStyle w:val="BodyText"/>
            </w:pPr>
            <w:r w:rsidRPr="000C3882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0C3882" w:rsidP="000C3882">
            <w:pPr>
              <w:pStyle w:val="BodyText"/>
            </w:pPr>
            <w:r w:rsidRPr="000C3882">
              <w:t>The unit includes the application of Rail Infrastructure Manage</w:t>
            </w:r>
            <w:r w:rsidRPr="000C3882">
              <w:t xml:space="preserve">r systems of safeworking, rules, procedures and protocols for rail safety but does not include the implementation of worksite protection. </w:t>
            </w:r>
          </w:p>
          <w:p w:rsidR="00000000" w:rsidRPr="000C3882" w:rsidP="000C3882">
            <w:pPr>
              <w:pStyle w:val="BodyText"/>
            </w:pPr>
            <w:r w:rsidRPr="000C3882">
              <w:t>No licensing, legislative or certification requirements apply to this unit at the time of publication.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3" w:name="O_1195662"/>
      <w:bookmarkEnd w:id="3"/>
      <w:r w:rsidRPr="000C38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>Not applicable.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4" w:name="O_1195661"/>
      <w:bookmarkEnd w:id="4"/>
      <w:r w:rsidRPr="000C38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>L – Resource Management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5" w:name="O_1195660"/>
      <w:bookmarkEnd w:id="5"/>
      <w:r w:rsidRPr="000C38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>Rail sector.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6" w:name="O_1195659"/>
      <w:bookmarkEnd w:id="6"/>
      <w:r w:rsidRPr="000C38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"/>
        <w:gridCol w:w="2182"/>
        <w:gridCol w:w="445"/>
        <w:gridCol w:w="6136"/>
      </w:tblGrid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Performance criteria describe the performance needed to demonstrate achievement of the element.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Prepare for track work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Worksite protection plan is sourced and TWA terms are read and clarified, as required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Hazards are identified, risks are assessed and control measures implemented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Network control officer is notified of the intention to use a TWA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Protection officer worksite protection responsibilities are identified from worksite protection plan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Issue a track work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Permission to issue a TWA is requested from network control officer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Permission to use a TWA is documented in accordance with Rail Infrastructure Manager requirements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Equipment required for TWA protection is identified and checked for functional condition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Protection is placed in accordance with worksite protection plan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Work group supervisor is advised that protection is in place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Manage rail traffic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Vigilance is maintained and protection officer is alerted to approaching rail traffic in accordance with workplace rules and procedures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Arrangements are made for equipment to be removed from the danger zone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Work group is instructed to move to a safe place prior to passage of rail traffic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Safety of track for passage of rail traffic is confirmed with work group supervisor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Instructions are issued to rail traffic in accordance with workplace procedures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Worksite protection is implemented prior to work groups entering the track worksite in accordance with workplace rules and procedures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Protection, placement and eq</w:t>
            </w:r>
            <w:r w:rsidRPr="000C3882">
              <w:t xml:space="preserve">uipment is continually monitored for </w:t>
            </w:r>
            <w:r w:rsidRPr="000C3882">
              <w:t>effectiveness in accordance with safety assessment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Fulfil a track work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Communication is conducted with work group supervisor to confirm that work activity is complete and track is safe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Network control officer is advised that the TWA has been fulfilled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Fulfilment of TWA is documented in accordance with Rail Infrastructure Manager and/or organisational requirements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rPr>
                <w:rStyle w:val="SpecialBold"/>
              </w:rPr>
              <w:t>Manage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Unsafe situations and</w:t>
            </w:r>
            <w:r w:rsidRPr="000C3882">
              <w:t>/or emergencies are identified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Work group is instructed to move to a safe place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t>Appropriate action is taken to minimise risk and/or injury in accordance with workplace procedures</w:t>
            </w:r>
          </w:p>
        </w:tc>
      </w:tr>
      <w:tr w:rsidTr="00E630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82">
            <w:pPr>
              <w:pStyle w:val="BodyText"/>
              <w:rPr>
                <w:lang w:val="en-NZ"/>
              </w:rPr>
            </w:pPr>
            <w:r w:rsidRPr="000C3882">
              <w:rPr>
                <w:rStyle w:val="SpecialBold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>Emergencies and/or incidents are recorded and reported to relevant personnel in accordance with workplace procedures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7" w:name="O_1195658"/>
      <w:bookmarkEnd w:id="7"/>
      <w:r w:rsidRPr="000C38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>Foundation skills essential to performance are explicit in the performance criteria of this unit of competency.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8" w:name="O_1195657"/>
      <w:bookmarkEnd w:id="8"/>
      <w:r w:rsidRPr="000C38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>Range is restricted to essential operating conditions and any other variables essential to the work e</w:t>
            </w:r>
            <w:r w:rsidRPr="000C3882">
              <w:t>nvironment.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9" w:name="O_1195656"/>
      <w:bookmarkEnd w:id="9"/>
      <w:r w:rsidRPr="000C38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82" w:rsidP="000C3882">
            <w:pPr>
              <w:pStyle w:val="BodyText"/>
            </w:pPr>
            <w:r w:rsidRPr="000C3882">
              <w:t xml:space="preserve">This unit replaces and is equivalent to TLIL3083A Implement a track work authority and manage rail traffic through worksites. </w:t>
            </w:r>
          </w:p>
        </w:tc>
      </w:tr>
    </w:tbl>
    <w:p w:rsidR="00E63073" w:rsidP="000C3882">
      <w:pPr>
        <w:pStyle w:val="NoPaddingFontSize1"/>
      </w:pPr>
    </w:p>
    <w:p w:rsidR="00E63073" w:rsidP="000C3882">
      <w:pPr>
        <w:pStyle w:val="NoPaddingFontSize1"/>
      </w:pPr>
    </w:p>
    <w:p w:rsidR="00000000" w:rsidRPr="000C3882" w:rsidP="000C3882">
      <w:pPr>
        <w:pStyle w:val="Heading1"/>
      </w:pPr>
      <w:bookmarkStart w:id="10" w:name="O_1195665"/>
      <w:bookmarkEnd w:id="10"/>
      <w:r w:rsidRPr="000C3882">
        <w:t>Links</w:t>
      </w:r>
    </w:p>
    <w:p w:rsidR="00000000" w:rsidRPr="000C3882" w:rsidP="00E63073">
      <w:pPr>
        <w:pStyle w:val="BodyText"/>
      </w:pPr>
      <w:r w:rsidRPr="000C3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34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3882" w:rsidP="000C3882"/>
    <w:sectPr w:rsidSect="000C38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82" w:rsidRPr="00E63073" w:rsidP="00E63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73" w:rsidP="000C3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073" w:rsidP="000C3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3073" w:rsidP="000C3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82" w:rsidRPr="00E63073" w:rsidP="00E63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73" w:rsidRPr="002D2AF8" w:rsidP="000C3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TLIL3083 Implement a track work authority and manage rail traffic through worksites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3073" w:rsidP="000C3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B85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BEC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82"/>
  </w:style>
  <w:style w:type="character" w:customStyle="1" w:styleId="Heading1Char">
    <w:name w:val="Heading 1 Char"/>
    <w:basedOn w:val="DefaultParagraphFont"/>
    <w:link w:val="Heading1"/>
    <w:rsid w:val="000C3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8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882"/>
    <w:rPr>
      <w:b/>
      <w:spacing w:val="0"/>
    </w:rPr>
  </w:style>
  <w:style w:type="paragraph" w:customStyle="1" w:styleId="SuperHeading">
    <w:name w:val="SuperHeading"/>
    <w:basedOn w:val="Normal"/>
    <w:rsid w:val="000C3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3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8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882"/>
    <w:rPr>
      <w:i/>
    </w:rPr>
  </w:style>
  <w:style w:type="paragraph" w:styleId="Caption">
    <w:name w:val="caption"/>
    <w:basedOn w:val="BodyText"/>
    <w:next w:val="Normal"/>
    <w:qFormat/>
    <w:rsid w:val="000C3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82"/>
  </w:style>
  <w:style w:type="paragraph" w:styleId="TableofFigures">
    <w:name w:val="table of figures"/>
    <w:basedOn w:val="Normal"/>
    <w:next w:val="Normal"/>
    <w:semiHidden/>
    <w:rsid w:val="000C3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882"/>
    <w:rPr>
      <w:rFonts w:ascii="Wingdings" w:hAnsi="Wingdings"/>
    </w:rPr>
  </w:style>
  <w:style w:type="paragraph" w:customStyle="1" w:styleId="TableHeading">
    <w:name w:val="Table Heading"/>
    <w:basedOn w:val="HeadingBase"/>
    <w:rsid w:val="000C3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82"/>
    <w:rPr>
      <w:color w:val="0033CC"/>
      <w:u w:val="none"/>
    </w:rPr>
  </w:style>
  <w:style w:type="paragraph" w:customStyle="1" w:styleId="BodyTextRight">
    <w:name w:val="Body Text Right"/>
    <w:basedOn w:val="BodyText"/>
    <w:rsid w:val="000C3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82"/>
    <w:rPr>
      <w:sz w:val="32"/>
    </w:rPr>
  </w:style>
  <w:style w:type="paragraph" w:customStyle="1" w:styleId="HeadingProcedure">
    <w:name w:val="Heading Procedure"/>
    <w:basedOn w:val="HeadingBase"/>
    <w:next w:val="Normal"/>
    <w:rsid w:val="000C3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82"/>
    <w:pPr>
      <w:spacing w:before="60" w:after="60"/>
    </w:pPr>
  </w:style>
  <w:style w:type="paragraph" w:styleId="ListContinue">
    <w:name w:val="List Continue"/>
    <w:basedOn w:val="List"/>
    <w:rsid w:val="000C3882"/>
    <w:pPr>
      <w:ind w:firstLine="0"/>
    </w:pPr>
  </w:style>
  <w:style w:type="paragraph" w:customStyle="1" w:styleId="ListNote">
    <w:name w:val="List Note"/>
    <w:basedOn w:val="List"/>
    <w:rsid w:val="000C3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82"/>
    <w:rPr>
      <w:rFonts w:ascii="Courier New" w:hAnsi="Courier New"/>
    </w:rPr>
  </w:style>
  <w:style w:type="paragraph" w:customStyle="1" w:styleId="NoteBullet">
    <w:name w:val="Note Bullet"/>
    <w:basedOn w:val="Note"/>
    <w:rsid w:val="000C3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82"/>
    <w:rPr>
      <w:b/>
      <w:smallCaps/>
    </w:rPr>
  </w:style>
  <w:style w:type="paragraph" w:customStyle="1" w:styleId="TableListNumber">
    <w:name w:val="Table List Number"/>
    <w:basedOn w:val="ListNumber"/>
    <w:rsid w:val="000C3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82"/>
    <w:pPr>
      <w:numPr>
        <w:numId w:val="8"/>
      </w:numPr>
    </w:pPr>
  </w:style>
  <w:style w:type="paragraph" w:customStyle="1" w:styleId="ListAlpha2">
    <w:name w:val="List Alpha 2"/>
    <w:basedOn w:val="List2"/>
    <w:rsid w:val="000C3882"/>
    <w:pPr>
      <w:numPr>
        <w:numId w:val="7"/>
      </w:numPr>
    </w:pPr>
  </w:style>
  <w:style w:type="paragraph" w:styleId="List2">
    <w:name w:val="List 2"/>
    <w:basedOn w:val="BodyText"/>
    <w:rsid w:val="000C3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8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882"/>
    <w:pPr>
      <w:numPr>
        <w:numId w:val="3"/>
      </w:numPr>
    </w:pPr>
  </w:style>
  <w:style w:type="paragraph" w:styleId="ListContinue2">
    <w:name w:val="List Continue 2"/>
    <w:basedOn w:val="List2"/>
    <w:rsid w:val="000C3882"/>
    <w:pPr>
      <w:ind w:firstLine="0"/>
    </w:pPr>
  </w:style>
  <w:style w:type="paragraph" w:styleId="ListContinue3">
    <w:name w:val="List Continue 3"/>
    <w:basedOn w:val="List3"/>
    <w:rsid w:val="000C3882"/>
    <w:pPr>
      <w:ind w:left="1021" w:firstLine="0"/>
    </w:pPr>
  </w:style>
  <w:style w:type="paragraph" w:styleId="ListContinue4">
    <w:name w:val="List Continue 4"/>
    <w:basedOn w:val="List4"/>
    <w:rsid w:val="000C3882"/>
    <w:pPr>
      <w:ind w:firstLine="0"/>
    </w:pPr>
  </w:style>
  <w:style w:type="paragraph" w:styleId="ListContinue5">
    <w:name w:val="List Continue 5"/>
    <w:basedOn w:val="List5"/>
    <w:rsid w:val="000C3882"/>
    <w:pPr>
      <w:ind w:firstLine="0"/>
    </w:pPr>
  </w:style>
  <w:style w:type="paragraph" w:styleId="ListNumber3">
    <w:name w:val="List Number 3"/>
    <w:basedOn w:val="List3"/>
    <w:rsid w:val="000C3882"/>
    <w:pPr>
      <w:numPr>
        <w:numId w:val="4"/>
      </w:numPr>
    </w:pPr>
  </w:style>
  <w:style w:type="paragraph" w:styleId="ListNumber4">
    <w:name w:val="List Number 4"/>
    <w:basedOn w:val="List4"/>
    <w:rsid w:val="000C3882"/>
    <w:pPr>
      <w:numPr>
        <w:numId w:val="5"/>
      </w:numPr>
    </w:pPr>
  </w:style>
  <w:style w:type="paragraph" w:styleId="ListNumber5">
    <w:name w:val="List Number 5"/>
    <w:basedOn w:val="List5"/>
    <w:rsid w:val="000C3882"/>
    <w:pPr>
      <w:numPr>
        <w:numId w:val="6"/>
      </w:numPr>
    </w:pPr>
  </w:style>
  <w:style w:type="paragraph" w:styleId="BlockText">
    <w:name w:val="Block Text"/>
    <w:basedOn w:val="Normal"/>
    <w:rsid w:val="000C3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82"/>
    <w:rPr>
      <w:sz w:val="16"/>
      <w:vertAlign w:val="superscript"/>
    </w:rPr>
  </w:style>
  <w:style w:type="character" w:customStyle="1" w:styleId="Symbols">
    <w:name w:val="Symbols"/>
    <w:basedOn w:val="DefaultParagraphFont"/>
    <w:rsid w:val="000C3882"/>
    <w:rPr>
      <w:rFonts w:ascii="Symbol" w:hAnsi="Symbol"/>
    </w:rPr>
  </w:style>
  <w:style w:type="character" w:customStyle="1" w:styleId="MenuOptions">
    <w:name w:val="Menu Options"/>
    <w:basedOn w:val="DefaultParagraphFont"/>
    <w:rsid w:val="000C3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82"/>
    <w:rPr>
      <w:b/>
    </w:rPr>
  </w:style>
  <w:style w:type="character" w:customStyle="1" w:styleId="Underlined">
    <w:name w:val="Underlined"/>
    <w:basedOn w:val="DefaultParagraphFont"/>
    <w:rsid w:val="000C3882"/>
    <w:rPr>
      <w:u w:val="single"/>
    </w:rPr>
  </w:style>
  <w:style w:type="paragraph" w:customStyle="1" w:styleId="TableBodyTextRight">
    <w:name w:val="Table Body Text Right"/>
    <w:basedOn w:val="TableBodyText"/>
    <w:rsid w:val="000C3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82"/>
    <w:rPr>
      <w:sz w:val="18"/>
    </w:rPr>
  </w:style>
  <w:style w:type="paragraph" w:customStyle="1" w:styleId="BodySmallRight">
    <w:name w:val="Body Small Right"/>
    <w:basedOn w:val="BodyTextRight"/>
    <w:rsid w:val="000C3882"/>
    <w:rPr>
      <w:sz w:val="18"/>
      <w:szCs w:val="18"/>
    </w:rPr>
  </w:style>
  <w:style w:type="paragraph" w:customStyle="1" w:styleId="MarginEdition">
    <w:name w:val="Margin Edition"/>
    <w:basedOn w:val="MarginNote"/>
    <w:rsid w:val="000C3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82"/>
    <w:rPr>
      <w:sz w:val="2"/>
      <w:szCs w:val="2"/>
    </w:rPr>
  </w:style>
  <w:style w:type="character" w:customStyle="1" w:styleId="Small">
    <w:name w:val="Small"/>
    <w:basedOn w:val="DefaultParagraphFont"/>
    <w:rsid w:val="000C3882"/>
    <w:rPr>
      <w:sz w:val="16"/>
    </w:rPr>
  </w:style>
  <w:style w:type="paragraph" w:customStyle="1" w:styleId="WideTable">
    <w:name w:val="Wide Table"/>
    <w:basedOn w:val="Normal"/>
    <w:rsid w:val="000C3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82"/>
  </w:style>
  <w:style w:type="paragraph" w:styleId="Quote">
    <w:name w:val="Quote"/>
    <w:basedOn w:val="Heading1"/>
    <w:link w:val="QuoteChar"/>
    <w:qFormat/>
    <w:rsid w:val="000C3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82"/>
    <w:pPr>
      <w:pageBreakBefore/>
    </w:pPr>
  </w:style>
  <w:style w:type="paragraph" w:customStyle="1" w:styleId="Border">
    <w:name w:val="Border"/>
    <w:basedOn w:val="Normal"/>
    <w:qFormat/>
    <w:rsid w:val="000C3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82"/>
    <w:rPr>
      <w:u w:val="single"/>
    </w:rPr>
  </w:style>
  <w:style w:type="character" w:customStyle="1" w:styleId="BoldandItalics">
    <w:name w:val="Bold and Italics"/>
    <w:qFormat/>
    <w:rsid w:val="000C3882"/>
    <w:rPr>
      <w:b/>
      <w:i/>
      <w:u w:val="none"/>
    </w:rPr>
  </w:style>
  <w:style w:type="paragraph" w:styleId="BalloonText">
    <w:name w:val="Balloon Text"/>
    <w:basedOn w:val="Normal"/>
    <w:link w:val="BalloonTextChar"/>
    <w:rsid w:val="000C3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82"/>
    <w:pPr>
      <w:spacing w:before="0" w:after="0"/>
    </w:pPr>
  </w:style>
  <w:style w:type="paragraph" w:customStyle="1" w:styleId="BodyTextBold">
    <w:name w:val="Body Text Bold"/>
    <w:basedOn w:val="BodyText"/>
    <w:qFormat/>
    <w:rsid w:val="000C3882"/>
    <w:rPr>
      <w:b/>
    </w:rPr>
  </w:style>
  <w:style w:type="character" w:styleId="Hyperlink">
    <w:name w:val="Hyperlink"/>
    <w:basedOn w:val="DefaultParagraphFont"/>
    <w:uiPriority w:val="99"/>
    <w:unhideWhenUsed/>
    <w:rsid w:val="00E63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4143</Characters>
  <Application>Microsoft Office Word</Application>
  <DocSecurity>0</DocSecurity>
  <Lines>197</Lines>
  <Paragraphs>107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TLIL3083 Implement a track work authority and manage rail traffic through worksites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