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152" w:rsidP="00B501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TLIL3039 Assist with train operations</w:t>
      </w:r>
      <w:r>
        <w:fldChar w:fldCharType="end"/>
      </w:r>
    </w:p>
    <w:p w:rsidR="00B50152" w:rsidP="00B50152">
      <w:pPr>
        <w:pStyle w:val="Version"/>
        <w:sectPr w:rsidSect="006A7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E01" w:rsidP="006A7E01">
      <w:pPr>
        <w:pStyle w:val="SuperHeading"/>
      </w:pPr>
      <w:r w:rsidRPr="006A7E01">
        <w:t>TLIL3039 Assist with train operations</w:t>
      </w:r>
    </w:p>
    <w:p w:rsidR="00000000" w:rsidRPr="006A7E01" w:rsidP="006A7E01">
      <w:pPr>
        <w:pStyle w:val="Heading1"/>
      </w:pPr>
      <w:bookmarkStart w:id="1" w:name="O_755647"/>
      <w:bookmarkEnd w:id="1"/>
      <w:r w:rsidRPr="006A7E01">
        <w:t>Modification History</w:t>
      </w:r>
    </w:p>
    <w:p w:rsidR="00B50152" w:rsidP="00B50152">
      <w:pPr>
        <w:pStyle w:val="BodyText"/>
      </w:pPr>
      <w:r w:rsidRPr="006A7E01">
        <w:t>Release 1. This is the first release of this unit of competency in the TLI Transport and Logistics Training Package.</w:t>
      </w:r>
    </w:p>
    <w:p w:rsidR="00000000" w:rsidRPr="006A7E01" w:rsidP="006A7E01">
      <w:pPr>
        <w:pStyle w:val="Heading1"/>
      </w:pPr>
      <w:bookmarkStart w:id="2" w:name="O_755648"/>
      <w:bookmarkEnd w:id="2"/>
      <w:r w:rsidRPr="006A7E0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50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01" w:rsidP="006A7E01">
            <w:pPr>
              <w:pStyle w:val="BodyText"/>
            </w:pPr>
            <w:r w:rsidRPr="006A7E01">
              <w:t xml:space="preserve">This unit involves the skills and knowledge required to assist with train operations as </w:t>
            </w:r>
            <w:r w:rsidRPr="006A7E01">
              <w:t>a driver assistant or second-person, in accordance with workplace procedures and the requirements of the relevant safeworking system and codes of practice.</w:t>
            </w:r>
          </w:p>
          <w:p w:rsidR="00000000" w:rsidRPr="006A7E01" w:rsidP="006A7E01">
            <w:pPr>
              <w:pStyle w:val="BodyText"/>
            </w:pPr>
            <w:r w:rsidRPr="006A7E01">
              <w:t>It includes assisting with preparations for train operation, assisting with the operation of the tra</w:t>
            </w:r>
            <w:r w:rsidRPr="006A7E01">
              <w:t>in, assisting with loading and unloading operations and handing over or stabling the train in accordance with workplace requirements.</w:t>
            </w:r>
          </w:p>
          <w:p w:rsidR="00000000" w:rsidRPr="006A7E01" w:rsidP="006A7E01">
            <w:pPr>
              <w:pStyle w:val="BodyText"/>
            </w:pPr>
            <w:r w:rsidRPr="006A7E01">
              <w:t>People achieving competence in this unit will need to fulfil the applicable state/territory legislated rail safety require</w:t>
            </w:r>
            <w:r w:rsidRPr="006A7E01">
              <w:t>ments and to comply with relevant codes of practice and/or guidelines.</w:t>
            </w:r>
          </w:p>
          <w:p w:rsidR="00000000" w:rsidRPr="006A7E01" w:rsidP="006A7E01">
            <w:pPr>
              <w:pStyle w:val="BodyText"/>
            </w:pPr>
            <w:r w:rsidRPr="006A7E01">
              <w:t xml:space="preserve">Work is performed in conjunction with a train driver. It involves the application of routine operational principles and procedures when assisting with train operations across a variety </w:t>
            </w:r>
            <w:r w:rsidRPr="006A7E01">
              <w:t>of operational workplace contexts within the Australian rail system.</w:t>
            </w:r>
          </w:p>
          <w:p w:rsidR="00000000" w:rsidRPr="006A7E01" w:rsidP="006A7E01">
            <w:pPr>
              <w:pStyle w:val="BodyText"/>
            </w:pPr>
            <w:r w:rsidRPr="006A7E01">
              <w:t>Visual inspections include:</w:t>
            </w:r>
          </w:p>
          <w:p w:rsidR="00000000" w:rsidRPr="006A7E01" w:rsidP="006A7E01">
            <w:pPr>
              <w:pStyle w:val="ListBullet"/>
            </w:pPr>
            <w:r w:rsidRPr="006A7E01">
              <w:t>wheels and braking equipment for signs of wear or damage</w:t>
            </w:r>
          </w:p>
          <w:p w:rsidR="00000000" w:rsidRPr="006A7E01" w:rsidP="006A7E01">
            <w:pPr>
              <w:pStyle w:val="ListBullet"/>
            </w:pPr>
            <w:r w:rsidRPr="006A7E01">
              <w:t>flexible connections and fittings for signs of wear or damage</w:t>
            </w:r>
          </w:p>
          <w:p w:rsidR="00000000" w:rsidRPr="006A7E01" w:rsidP="006A7E01">
            <w:pPr>
              <w:pStyle w:val="ListBullet"/>
            </w:pPr>
            <w:r w:rsidRPr="006A7E01">
              <w:t>couplings for signs of wear or damage</w:t>
            </w:r>
          </w:p>
          <w:p w:rsidR="00000000" w:rsidRPr="006A7E01" w:rsidP="006A7E01">
            <w:pPr>
              <w:pStyle w:val="ListBullet"/>
            </w:pPr>
            <w:r w:rsidRPr="006A7E01">
              <w:t>f</w:t>
            </w:r>
            <w:r w:rsidRPr="006A7E01">
              <w:t>uel, oil and water</w:t>
            </w:r>
          </w:p>
          <w:p w:rsidR="00000000" w:rsidRPr="006A7E01" w:rsidP="006A7E01">
            <w:pPr>
              <w:pStyle w:val="ListBullet"/>
            </w:pPr>
            <w:r w:rsidRPr="006A7E01">
              <w:t>air leakage</w:t>
            </w:r>
          </w:p>
          <w:p w:rsidR="00000000" w:rsidRPr="006A7E01" w:rsidP="006A7E01">
            <w:pPr>
              <w:pStyle w:val="ListBullet"/>
            </w:pPr>
            <w:r w:rsidRPr="006A7E01">
              <w:t>motive power unit equipment and, if applicable, end of train monitoring device</w:t>
            </w:r>
          </w:p>
          <w:p w:rsidR="00000000" w:rsidRPr="006A7E01" w:rsidP="006A7E01">
            <w:pPr>
              <w:pStyle w:val="ListBullet"/>
            </w:pPr>
            <w:r w:rsidRPr="006A7E01">
              <w:t>rolling stock for defects.</w:t>
            </w:r>
          </w:p>
          <w:p w:rsidR="00000000" w:rsidRPr="006A7E01" w:rsidP="006A7E01">
            <w:pPr>
              <w:pStyle w:val="BodyText"/>
            </w:pPr>
            <w:r w:rsidRPr="006A7E01">
              <w:t>No licensing, legislative or certification requirements apply to this unit at the time of publication.</w:t>
            </w:r>
          </w:p>
        </w:tc>
      </w:tr>
    </w:tbl>
    <w:p w:rsidR="00B50152" w:rsidP="006A7E01">
      <w:pPr>
        <w:pStyle w:val="BodyText"/>
      </w:pPr>
    </w:p>
    <w:p w:rsidR="00B50152" w:rsidP="006A7E01">
      <w:pPr>
        <w:pStyle w:val="BodyText"/>
      </w:pPr>
    </w:p>
    <w:p w:rsidR="00000000" w:rsidRPr="006A7E01" w:rsidP="006A7E01">
      <w:pPr>
        <w:pStyle w:val="Heading1"/>
      </w:pPr>
      <w:bookmarkStart w:id="3" w:name="O_755649"/>
      <w:bookmarkEnd w:id="3"/>
      <w:r w:rsidRPr="006A7E01">
        <w:t>Pre-requisite Unit</w:t>
      </w:r>
    </w:p>
    <w:p w:rsidR="00B50152" w:rsidP="00B50152">
      <w:pPr>
        <w:pStyle w:val="BodyText"/>
      </w:pPr>
      <w:r w:rsidRPr="006A7E01">
        <w:t>Not applicable.</w:t>
      </w:r>
    </w:p>
    <w:p w:rsidR="00000000" w:rsidRPr="006A7E01" w:rsidP="006A7E01">
      <w:pPr>
        <w:pStyle w:val="Heading1"/>
      </w:pPr>
      <w:bookmarkStart w:id="4" w:name="O_755650"/>
      <w:bookmarkEnd w:id="4"/>
      <w:r w:rsidRPr="006A7E01">
        <w:t>Competency Field</w:t>
      </w:r>
    </w:p>
    <w:p w:rsidR="00B50152" w:rsidP="00B50152">
      <w:pPr>
        <w:pStyle w:val="BodyText"/>
      </w:pPr>
      <w:r w:rsidRPr="006A7E01">
        <w:t>L – Resource Management</w:t>
      </w:r>
    </w:p>
    <w:p w:rsidR="00000000" w:rsidRPr="006A7E01" w:rsidP="006A7E01">
      <w:pPr>
        <w:pStyle w:val="Heading1"/>
      </w:pPr>
      <w:bookmarkStart w:id="5" w:name="O_755651"/>
      <w:bookmarkEnd w:id="5"/>
      <w:r w:rsidRPr="006A7E01">
        <w:t>Unit Sector</w:t>
      </w:r>
    </w:p>
    <w:p w:rsidR="00B50152" w:rsidP="00B50152">
      <w:pPr>
        <w:pStyle w:val="BodyText"/>
      </w:pPr>
      <w:r w:rsidRPr="006A7E01">
        <w:t>Not applicable.</w:t>
      </w:r>
    </w:p>
    <w:p w:rsidR="00000000" w:rsidRPr="006A7E01" w:rsidP="006A7E01">
      <w:pPr>
        <w:pStyle w:val="Heading1"/>
      </w:pPr>
      <w:bookmarkStart w:id="6" w:name="O_755652"/>
      <w:bookmarkEnd w:id="6"/>
      <w:r w:rsidRPr="006A7E0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B50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Performance c</w:t>
            </w:r>
            <w:r w:rsidRPr="006A7E01">
              <w:t>riteria describe the performance needed to demonstrate achievement of the element.</w:t>
            </w:r>
          </w:p>
        </w:tc>
      </w:tr>
      <w:tr w:rsidTr="00B50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01" w:rsidP="006A7E01">
            <w:pPr>
              <w:pStyle w:val="BodyText"/>
            </w:pPr>
            <w:r w:rsidRPr="006A7E0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rPr>
                <w:rStyle w:val="SpecialBold"/>
              </w:rPr>
              <w:t>Assist with preparing for train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Planning documentation is accessed and interpreted to determine journey purpose, constraints, loading information and characteristics, and is confirmed with driver</w:t>
            </w:r>
          </w:p>
        </w:tc>
      </w:tr>
      <w:tr w:rsidTr="00B50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 xml:space="preserve">Visual inspections of equipment are carried out and identified faults or defects are </w:t>
            </w:r>
            <w:r w:rsidRPr="006A7E01">
              <w:t>appropriately reported in accordance with workplace procedures and manufacturer specifications</w:t>
            </w:r>
          </w:p>
        </w:tc>
      </w:tr>
      <w:tr w:rsidTr="00B50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Hazards are identified, risks are assessed and control measures are implemented</w:t>
            </w:r>
          </w:p>
        </w:tc>
      </w:tr>
      <w:tr w:rsidTr="00B50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Assistance is provided with pre-operational checking and testing of equipment in accordance with workplace policies and procedures</w:t>
            </w:r>
          </w:p>
        </w:tc>
      </w:tr>
      <w:tr w:rsidTr="00B50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01" w:rsidP="006A7E01">
            <w:pPr>
              <w:pStyle w:val="BodyText"/>
            </w:pPr>
            <w:r w:rsidRPr="006A7E0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rPr>
                <w:rStyle w:val="SpecialBold"/>
              </w:rPr>
              <w:t>Assist with train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Motive power unit is monitored in conjunction with driver, in accordance with workplace pr</w:t>
            </w:r>
            <w:r w:rsidRPr="006A7E01">
              <w:t>ocedures</w:t>
            </w:r>
          </w:p>
        </w:tc>
      </w:tr>
      <w:tr w:rsidTr="00B50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Guidance is provided to driver while stopping and starting to ensure safety of personnel and equipment</w:t>
            </w:r>
          </w:p>
        </w:tc>
      </w:tr>
      <w:tr w:rsidTr="00B50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Train running schedules are monitored and recorded to assist with on-time running</w:t>
            </w:r>
          </w:p>
        </w:tc>
      </w:tr>
      <w:tr w:rsidTr="00B50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Performance of eq</w:t>
            </w:r>
            <w:r w:rsidRPr="006A7E01">
              <w:t>uipment and rolling stock is monitored en route to identify faults or defects and appropriate action is taken as required in accordance with workplace procedures</w:t>
            </w:r>
          </w:p>
        </w:tc>
      </w:tr>
      <w:tr w:rsidTr="00B50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Security of loading and all other aspects of the train are monitored en route and abnormalities are dealt with in accordance with workplace procedures</w:t>
            </w:r>
          </w:p>
        </w:tc>
      </w:tr>
      <w:tr w:rsidTr="00B50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Signals and track/road are monitored en route in accordance with workplace procedures</w:t>
            </w:r>
          </w:p>
        </w:tc>
      </w:tr>
      <w:tr w:rsidTr="00B50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01" w:rsidP="006A7E01">
            <w:pPr>
              <w:pStyle w:val="BodyText"/>
            </w:pPr>
            <w:r w:rsidRPr="006A7E0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rPr>
                <w:rStyle w:val="SpecialBold"/>
              </w:rPr>
              <w:t>Stable or</w:t>
            </w:r>
            <w:r w:rsidRPr="006A7E01">
              <w:rPr>
                <w:rStyle w:val="SpecialBold"/>
              </w:rPr>
              <w:t xml:space="preserve"> handover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Appropriate assistance is provided when train is stabled in accordance with safeworking system requirements, operational instructions and workplace procedures</w:t>
            </w:r>
          </w:p>
        </w:tc>
      </w:tr>
      <w:tr w:rsidTr="00B50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Safety devices are activated or</w:t>
            </w:r>
            <w:r w:rsidRPr="006A7E01">
              <w:t xml:space="preserve"> put in position in accordance with operational instructions and workplace procedures to ensure the safety of personnel and equipment</w:t>
            </w:r>
          </w:p>
        </w:tc>
      </w:tr>
      <w:tr w:rsidTr="00B50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01">
            <w:pPr>
              <w:pStyle w:val="BodyText"/>
              <w:rPr>
                <w:lang w:val="en-NZ"/>
              </w:rPr>
            </w:pPr>
            <w:r w:rsidRPr="006A7E0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01" w:rsidP="006A7E01">
            <w:pPr>
              <w:pStyle w:val="BodyText"/>
            </w:pPr>
            <w:r w:rsidRPr="006A7E01">
              <w:t>Prior to handover, documentation relevant to the train and activities undertaken en route is updated, provided to r</w:t>
            </w:r>
            <w:r w:rsidRPr="006A7E01">
              <w:t>elief crew and/or forwarded to appropriate personnel in accordance with workplace policies and procedures</w:t>
            </w:r>
          </w:p>
        </w:tc>
      </w:tr>
    </w:tbl>
    <w:p w:rsidR="00B50152" w:rsidP="006A7E01">
      <w:pPr>
        <w:pStyle w:val="BodyText"/>
      </w:pPr>
    </w:p>
    <w:p w:rsidR="00B50152" w:rsidP="006A7E01">
      <w:pPr>
        <w:pStyle w:val="BodyText"/>
      </w:pPr>
    </w:p>
    <w:p w:rsidR="00000000" w:rsidRPr="006A7E01" w:rsidP="006A7E01">
      <w:pPr>
        <w:pStyle w:val="Heading1"/>
      </w:pPr>
      <w:bookmarkStart w:id="7" w:name="O_755653"/>
      <w:bookmarkEnd w:id="7"/>
      <w:r w:rsidRPr="006A7E01">
        <w:t>Foundation Skills</w:t>
      </w:r>
    </w:p>
    <w:p w:rsidR="00B50152" w:rsidP="00B50152">
      <w:pPr>
        <w:pStyle w:val="BodyText"/>
      </w:pPr>
      <w:r w:rsidRPr="006A7E01">
        <w:t>Foundation skills essential to performance are explicit in the performance criteria of this unit of competency.</w:t>
      </w:r>
    </w:p>
    <w:p w:rsidR="00000000" w:rsidRPr="006A7E01" w:rsidP="006A7E01">
      <w:pPr>
        <w:pStyle w:val="Heading1"/>
      </w:pPr>
      <w:bookmarkStart w:id="8" w:name="O_755654"/>
      <w:bookmarkEnd w:id="8"/>
      <w:r w:rsidRPr="006A7E01">
        <w:t>Range of Conditions</w:t>
      </w:r>
    </w:p>
    <w:p w:rsidR="00000000" w:rsidRPr="006A7E01" w:rsidP="00B50152">
      <w:pPr>
        <w:pStyle w:val="BodyText"/>
      </w:pPr>
      <w:r w:rsidRPr="006A7E01">
        <w:t>Range is restricted to essential operating conditions and any other variables essential to the work environment.</w:t>
      </w:r>
    </w:p>
    <w:p w:rsidR="00B50152" w:rsidP="00B50152">
      <w:pPr>
        <w:pStyle w:val="BodyText"/>
      </w:pPr>
      <w:r w:rsidRPr="006A7E01">
        <w:t>Non-essential conditions can be found in the Companion Volume Implementation Guide.</w:t>
      </w:r>
    </w:p>
    <w:p w:rsidR="00000000" w:rsidRPr="006A7E01" w:rsidP="006A7E01">
      <w:pPr>
        <w:pStyle w:val="Heading1"/>
      </w:pPr>
      <w:bookmarkStart w:id="9" w:name="O_755655"/>
      <w:bookmarkEnd w:id="9"/>
      <w:r w:rsidRPr="006A7E01">
        <w:t>Uni</w:t>
      </w:r>
      <w:r w:rsidRPr="006A7E01">
        <w:t>t Mapping Information</w:t>
      </w:r>
    </w:p>
    <w:p w:rsidR="00B50152" w:rsidP="00B50152">
      <w:pPr>
        <w:pStyle w:val="BodyText"/>
      </w:pPr>
      <w:r w:rsidRPr="006A7E01">
        <w:t>This unit replaces and is equivalent to TLIL3039A Assist with train operations.</w:t>
      </w:r>
    </w:p>
    <w:p w:rsidR="00000000" w:rsidRPr="006A7E01" w:rsidP="006A7E01">
      <w:pPr>
        <w:pStyle w:val="Heading1"/>
      </w:pPr>
      <w:bookmarkStart w:id="10" w:name="O_755662"/>
      <w:bookmarkEnd w:id="10"/>
      <w:r w:rsidRPr="006A7E01">
        <w:t>Links</w:t>
      </w:r>
    </w:p>
    <w:p w:rsidR="00000000" w:rsidRPr="006A7E01" w:rsidP="00B50152">
      <w:pPr>
        <w:pStyle w:val="BodyText"/>
      </w:pPr>
      <w:r w:rsidRPr="006A7E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A0CB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7E01" w:rsidP="006A7E01"/>
    <w:sectPr w:rsidSect="006A7E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01" w:rsidRPr="00B50152" w:rsidP="00B501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52" w:rsidP="006A7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152" w:rsidP="006A7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50152" w:rsidP="006A7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E01" w:rsidRPr="00B50152" w:rsidP="00B501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52" w:rsidRPr="002D2AF8" w:rsidP="006A7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TLIL3039 Assist with train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B50152" w:rsidP="006A7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8EA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A2A6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E01"/>
  </w:style>
  <w:style w:type="character" w:customStyle="1" w:styleId="Heading1Char">
    <w:name w:val="Heading 1 Char"/>
    <w:basedOn w:val="DefaultParagraphFont"/>
    <w:link w:val="Heading1"/>
    <w:rsid w:val="006A7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E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E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7E01"/>
    <w:rPr>
      <w:b/>
      <w:spacing w:val="0"/>
    </w:rPr>
  </w:style>
  <w:style w:type="paragraph" w:customStyle="1" w:styleId="SuperHeading">
    <w:name w:val="SuperHeading"/>
    <w:basedOn w:val="Normal"/>
    <w:rsid w:val="006A7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E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E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7E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7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E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E01"/>
    <w:rPr>
      <w:i/>
    </w:rPr>
  </w:style>
  <w:style w:type="paragraph" w:styleId="Caption">
    <w:name w:val="caption"/>
    <w:basedOn w:val="BodyText"/>
    <w:next w:val="Normal"/>
    <w:qFormat/>
    <w:rsid w:val="006A7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E01"/>
  </w:style>
  <w:style w:type="paragraph" w:styleId="TableofFigures">
    <w:name w:val="table of figures"/>
    <w:basedOn w:val="Normal"/>
    <w:next w:val="Normal"/>
    <w:semiHidden/>
    <w:rsid w:val="006A7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E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7E01"/>
    <w:rPr>
      <w:rFonts w:ascii="Wingdings" w:hAnsi="Wingdings"/>
    </w:rPr>
  </w:style>
  <w:style w:type="paragraph" w:customStyle="1" w:styleId="TableHeading">
    <w:name w:val="Table Heading"/>
    <w:basedOn w:val="HeadingBase"/>
    <w:rsid w:val="006A7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E01"/>
    <w:rPr>
      <w:color w:val="0033CC"/>
      <w:u w:val="none"/>
    </w:rPr>
  </w:style>
  <w:style w:type="paragraph" w:customStyle="1" w:styleId="BodyTextRight">
    <w:name w:val="Body Text Right"/>
    <w:basedOn w:val="BodyText"/>
    <w:rsid w:val="006A7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E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E01"/>
    <w:rPr>
      <w:sz w:val="32"/>
    </w:rPr>
  </w:style>
  <w:style w:type="paragraph" w:customStyle="1" w:styleId="HeadingProcedure">
    <w:name w:val="Heading Procedure"/>
    <w:basedOn w:val="HeadingBase"/>
    <w:next w:val="Normal"/>
    <w:rsid w:val="006A7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E01"/>
    <w:pPr>
      <w:spacing w:before="60" w:after="60"/>
    </w:pPr>
  </w:style>
  <w:style w:type="paragraph" w:styleId="ListContinue">
    <w:name w:val="List Continue"/>
    <w:basedOn w:val="List"/>
    <w:rsid w:val="006A7E01"/>
    <w:pPr>
      <w:ind w:firstLine="0"/>
    </w:pPr>
  </w:style>
  <w:style w:type="paragraph" w:customStyle="1" w:styleId="ListNote">
    <w:name w:val="List Note"/>
    <w:basedOn w:val="List"/>
    <w:rsid w:val="006A7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E01"/>
    <w:rPr>
      <w:rFonts w:ascii="Courier New" w:hAnsi="Courier New"/>
    </w:rPr>
  </w:style>
  <w:style w:type="paragraph" w:customStyle="1" w:styleId="NoteBullet">
    <w:name w:val="Note Bullet"/>
    <w:basedOn w:val="Note"/>
    <w:rsid w:val="006A7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E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7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E01"/>
    <w:rPr>
      <w:b/>
      <w:smallCaps/>
    </w:rPr>
  </w:style>
  <w:style w:type="paragraph" w:customStyle="1" w:styleId="TableListNumber">
    <w:name w:val="Table List Number"/>
    <w:basedOn w:val="ListNumber"/>
    <w:rsid w:val="006A7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E01"/>
    <w:pPr>
      <w:numPr>
        <w:numId w:val="8"/>
      </w:numPr>
    </w:pPr>
  </w:style>
  <w:style w:type="paragraph" w:customStyle="1" w:styleId="ListAlpha2">
    <w:name w:val="List Alpha 2"/>
    <w:basedOn w:val="List2"/>
    <w:rsid w:val="006A7E01"/>
    <w:pPr>
      <w:numPr>
        <w:numId w:val="7"/>
      </w:numPr>
    </w:pPr>
  </w:style>
  <w:style w:type="paragraph" w:styleId="List2">
    <w:name w:val="List 2"/>
    <w:basedOn w:val="BodyText"/>
    <w:rsid w:val="006A7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E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E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7E01"/>
    <w:pPr>
      <w:numPr>
        <w:numId w:val="3"/>
      </w:numPr>
    </w:pPr>
  </w:style>
  <w:style w:type="paragraph" w:styleId="ListContinue2">
    <w:name w:val="List Continue 2"/>
    <w:basedOn w:val="List2"/>
    <w:rsid w:val="006A7E01"/>
    <w:pPr>
      <w:ind w:firstLine="0"/>
    </w:pPr>
  </w:style>
  <w:style w:type="paragraph" w:styleId="ListContinue3">
    <w:name w:val="List Continue 3"/>
    <w:basedOn w:val="List3"/>
    <w:rsid w:val="006A7E01"/>
    <w:pPr>
      <w:ind w:left="1021" w:firstLine="0"/>
    </w:pPr>
  </w:style>
  <w:style w:type="paragraph" w:styleId="ListContinue4">
    <w:name w:val="List Continue 4"/>
    <w:basedOn w:val="List4"/>
    <w:rsid w:val="006A7E01"/>
    <w:pPr>
      <w:ind w:firstLine="0"/>
    </w:pPr>
  </w:style>
  <w:style w:type="paragraph" w:styleId="ListContinue5">
    <w:name w:val="List Continue 5"/>
    <w:basedOn w:val="List5"/>
    <w:rsid w:val="006A7E01"/>
    <w:pPr>
      <w:ind w:firstLine="0"/>
    </w:pPr>
  </w:style>
  <w:style w:type="paragraph" w:styleId="ListNumber3">
    <w:name w:val="List Number 3"/>
    <w:basedOn w:val="List3"/>
    <w:rsid w:val="006A7E01"/>
    <w:pPr>
      <w:numPr>
        <w:numId w:val="4"/>
      </w:numPr>
    </w:pPr>
  </w:style>
  <w:style w:type="paragraph" w:styleId="ListNumber4">
    <w:name w:val="List Number 4"/>
    <w:basedOn w:val="List4"/>
    <w:rsid w:val="006A7E01"/>
    <w:pPr>
      <w:numPr>
        <w:numId w:val="5"/>
      </w:numPr>
    </w:pPr>
  </w:style>
  <w:style w:type="paragraph" w:styleId="ListNumber5">
    <w:name w:val="List Number 5"/>
    <w:basedOn w:val="List5"/>
    <w:rsid w:val="006A7E01"/>
    <w:pPr>
      <w:numPr>
        <w:numId w:val="6"/>
      </w:numPr>
    </w:pPr>
  </w:style>
  <w:style w:type="paragraph" w:styleId="BlockText">
    <w:name w:val="Block Text"/>
    <w:basedOn w:val="Normal"/>
    <w:rsid w:val="006A7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E01"/>
    <w:rPr>
      <w:sz w:val="16"/>
      <w:vertAlign w:val="superscript"/>
    </w:rPr>
  </w:style>
  <w:style w:type="character" w:customStyle="1" w:styleId="Symbols">
    <w:name w:val="Symbols"/>
    <w:basedOn w:val="DefaultParagraphFont"/>
    <w:rsid w:val="006A7E01"/>
    <w:rPr>
      <w:rFonts w:ascii="Symbol" w:hAnsi="Symbol"/>
    </w:rPr>
  </w:style>
  <w:style w:type="character" w:customStyle="1" w:styleId="MenuOptions">
    <w:name w:val="Menu Options"/>
    <w:basedOn w:val="DefaultParagraphFont"/>
    <w:rsid w:val="006A7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E01"/>
    <w:rPr>
      <w:b/>
    </w:rPr>
  </w:style>
  <w:style w:type="character" w:customStyle="1" w:styleId="Underlined">
    <w:name w:val="Underlined"/>
    <w:basedOn w:val="DefaultParagraphFont"/>
    <w:rsid w:val="006A7E01"/>
    <w:rPr>
      <w:u w:val="single"/>
    </w:rPr>
  </w:style>
  <w:style w:type="paragraph" w:customStyle="1" w:styleId="TableBodyTextRight">
    <w:name w:val="Table Body Text Right"/>
    <w:basedOn w:val="TableBodyText"/>
    <w:rsid w:val="006A7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E01"/>
    <w:rPr>
      <w:sz w:val="18"/>
    </w:rPr>
  </w:style>
  <w:style w:type="paragraph" w:customStyle="1" w:styleId="BodySmallRight">
    <w:name w:val="Body Small Right"/>
    <w:basedOn w:val="BodyTextRight"/>
    <w:rsid w:val="006A7E01"/>
    <w:rPr>
      <w:sz w:val="18"/>
      <w:szCs w:val="18"/>
    </w:rPr>
  </w:style>
  <w:style w:type="paragraph" w:customStyle="1" w:styleId="MarginEdition">
    <w:name w:val="Margin Edition"/>
    <w:basedOn w:val="MarginNote"/>
    <w:rsid w:val="006A7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E01"/>
    <w:rPr>
      <w:sz w:val="2"/>
      <w:szCs w:val="2"/>
    </w:rPr>
  </w:style>
  <w:style w:type="character" w:customStyle="1" w:styleId="Small">
    <w:name w:val="Small"/>
    <w:basedOn w:val="DefaultParagraphFont"/>
    <w:rsid w:val="006A7E01"/>
    <w:rPr>
      <w:sz w:val="16"/>
    </w:rPr>
  </w:style>
  <w:style w:type="paragraph" w:customStyle="1" w:styleId="WideTable">
    <w:name w:val="Wide Table"/>
    <w:basedOn w:val="Normal"/>
    <w:rsid w:val="006A7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E01"/>
  </w:style>
  <w:style w:type="paragraph" w:styleId="Quote">
    <w:name w:val="Quote"/>
    <w:basedOn w:val="Heading1"/>
    <w:link w:val="QuoteChar"/>
    <w:qFormat/>
    <w:rsid w:val="006A7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E01"/>
    <w:pPr>
      <w:pageBreakBefore/>
    </w:pPr>
  </w:style>
  <w:style w:type="paragraph" w:customStyle="1" w:styleId="Border">
    <w:name w:val="Border"/>
    <w:basedOn w:val="Normal"/>
    <w:qFormat/>
    <w:rsid w:val="006A7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E01"/>
    <w:rPr>
      <w:u w:val="single"/>
    </w:rPr>
  </w:style>
  <w:style w:type="character" w:customStyle="1" w:styleId="BoldandItalics">
    <w:name w:val="Bold and Italics"/>
    <w:qFormat/>
    <w:rsid w:val="006A7E01"/>
    <w:rPr>
      <w:b/>
      <w:i/>
      <w:u w:val="none"/>
    </w:rPr>
  </w:style>
  <w:style w:type="paragraph" w:styleId="BalloonText">
    <w:name w:val="Balloon Text"/>
    <w:basedOn w:val="Normal"/>
    <w:link w:val="BalloonTextChar"/>
    <w:rsid w:val="006A7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E01"/>
    <w:pPr>
      <w:spacing w:before="0" w:after="0"/>
    </w:pPr>
  </w:style>
  <w:style w:type="paragraph" w:customStyle="1" w:styleId="BodyTextBold">
    <w:name w:val="Body Text Bold"/>
    <w:basedOn w:val="BodyText"/>
    <w:qFormat/>
    <w:rsid w:val="006A7E01"/>
    <w:rPr>
      <w:b/>
    </w:rPr>
  </w:style>
  <w:style w:type="character" w:styleId="Hyperlink">
    <w:name w:val="Hyperlink"/>
    <w:basedOn w:val="DefaultParagraphFont"/>
    <w:uiPriority w:val="99"/>
    <w:unhideWhenUsed/>
    <w:rsid w:val="00B501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3980</Characters>
  <Application>Microsoft Office Word</Application>
  <DocSecurity>0</DocSecurity>
  <Lines>137</Lines>
  <Paragraphs>82</Paragraphs>
  <ScaleCrop>false</ScaleCrop>
  <Company>Author-it Software Corporation Ltd.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TLIL3039 Assist with train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2021-04-12T02:32:00Z</dcterms:created>
  <dcterms:modified xsi:type="dcterms:W3CDTF">2021-04-12T02:32:00Z</dcterms:modified>
</cp:coreProperties>
</file>