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830" w:rsidP="006A4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TLIL3035 Allocate motive power</w:t>
      </w:r>
      <w:r>
        <w:fldChar w:fldCharType="end"/>
      </w:r>
    </w:p>
    <w:p w:rsidR="006A4830" w:rsidP="006A4830">
      <w:pPr>
        <w:pStyle w:val="Version"/>
        <w:sectPr w:rsidSect="00CC0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0D63" w:rsidP="00CC0D63">
      <w:pPr>
        <w:pStyle w:val="SuperHeading"/>
      </w:pPr>
      <w:r w:rsidRPr="00CC0D63">
        <w:t>TLIL3035 Allocate motive power</w:t>
      </w:r>
    </w:p>
    <w:p w:rsidR="00000000" w:rsidRPr="00CC0D63" w:rsidP="00CC0D63">
      <w:pPr>
        <w:pStyle w:val="Heading1"/>
      </w:pPr>
      <w:bookmarkStart w:id="1" w:name="O_1091486"/>
      <w:bookmarkEnd w:id="1"/>
      <w:r w:rsidRPr="00CC0D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0D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Release 2</w:t>
            </w:r>
            <w:r w:rsidRPr="00CC0D63">
              <w:t>. This is the second release of this unit of competency in the TLI Transport and Logistics Training Package:</w:t>
            </w:r>
          </w:p>
          <w:p w:rsidR="00000000" w:rsidP="00CC0D63">
            <w:pPr>
              <w:pStyle w:val="ListBullet"/>
              <w:rPr>
                <w:lang w:val="en-NZ"/>
              </w:rPr>
            </w:pPr>
            <w:r w:rsidRPr="00CC0D63">
              <w:t>Minor statement changes in Assessment Conditions.</w:t>
            </w:r>
          </w:p>
        </w:tc>
      </w:tr>
      <w:tr w:rsidTr="00CC0D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Release 1</w:t>
            </w:r>
            <w:r w:rsidRPr="00CC0D63">
              <w:t>. This is the first release of this unit of competency i</w:t>
            </w:r>
            <w:r w:rsidRPr="00CC0D63">
              <w:t>n the TLI Transport and Logistics Training Package.</w:t>
            </w:r>
          </w:p>
        </w:tc>
      </w:tr>
    </w:tbl>
    <w:p w:rsidR="00000000" w:rsidRPr="00CC0D63" w:rsidP="00CC0D63">
      <w:pPr>
        <w:pStyle w:val="NoPaddingFontSize1"/>
      </w:pPr>
    </w:p>
    <w:p w:rsidR="00000000" w:rsidRPr="00CC0D63" w:rsidP="00CC0D63">
      <w:pPr>
        <w:pStyle w:val="AllowPageBreak"/>
      </w:pPr>
    </w:p>
    <w:p w:rsidR="00000000" w:rsidRPr="00CC0D63" w:rsidP="00CC0D63">
      <w:pPr>
        <w:pStyle w:val="Heading1"/>
      </w:pPr>
      <w:bookmarkStart w:id="2" w:name="O_1091485"/>
      <w:bookmarkEnd w:id="2"/>
      <w:r w:rsidRPr="00CC0D63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A48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t>This unit involves the skills and knowledge required to allocate motive power in accordance with workplace procedures and the requirements of relevant safeworking regulati</w:t>
            </w:r>
            <w:r w:rsidRPr="00CC0D63">
              <w:t>ons and codes of practice.</w:t>
            </w:r>
          </w:p>
          <w:p w:rsidR="00000000" w:rsidRPr="00CC0D63" w:rsidP="00CC0D63">
            <w:pPr>
              <w:pStyle w:val="BodyText"/>
            </w:pPr>
            <w:r w:rsidRPr="00CC0D63">
              <w:t>It includes identifying train operating requirements, establishing motive power requirements and availability, allocating individual motive power units, and adjusting motive power allocation in accordance with workplace requireme</w:t>
            </w:r>
            <w:r w:rsidRPr="00CC0D63">
              <w:t xml:space="preserve">nts. </w:t>
            </w:r>
          </w:p>
          <w:p w:rsidR="00000000" w:rsidRPr="00CC0D63" w:rsidP="00CC0D63">
            <w:pPr>
              <w:pStyle w:val="BodyText"/>
            </w:pPr>
            <w:r w:rsidRPr="00CC0D63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CC0D63" w:rsidP="00CC0D63">
            <w:pPr>
              <w:pStyle w:val="BodyText"/>
            </w:pPr>
            <w:r w:rsidRPr="00CC0D63">
              <w:t>While work is performed individually, it will generally b</w:t>
            </w:r>
            <w:r w:rsidRPr="00CC0D63">
              <w:t>e undertaken within a team environment.</w:t>
            </w:r>
          </w:p>
          <w:p w:rsidR="00000000" w:rsidRPr="00CC0D63" w:rsidP="00CC0D63">
            <w:pPr>
              <w:pStyle w:val="BodyText"/>
            </w:pPr>
            <w:r w:rsidRPr="00CC0D63">
              <w:t>It involves the application of routine operational principles and procedures to allocate motive power across a variety of operational contexts in the Australian rail systems.</w:t>
            </w:r>
          </w:p>
          <w:p w:rsidR="00000000" w:rsidRPr="00CC0D63" w:rsidP="00CC0D63">
            <w:pPr>
              <w:pStyle w:val="BodyText"/>
            </w:pPr>
            <w:r w:rsidRPr="00CC0D63">
              <w:t>No licensing, legislative or certification requirements apply to this unit at the time of publication.</w:t>
            </w:r>
          </w:p>
        </w:tc>
      </w:tr>
    </w:tbl>
    <w:p w:rsidR="00000000" w:rsidRPr="00CC0D63" w:rsidP="00CC0D63">
      <w:pPr>
        <w:pStyle w:val="BodyText"/>
      </w:pPr>
    </w:p>
    <w:p w:rsidR="00000000" w:rsidRPr="00CC0D63" w:rsidP="00CC0D63">
      <w:pPr>
        <w:pStyle w:val="AllowPageBreak"/>
      </w:pPr>
    </w:p>
    <w:p w:rsidR="00000000" w:rsidRPr="00CC0D63" w:rsidP="00CC0D63">
      <w:pPr>
        <w:pStyle w:val="Heading1"/>
      </w:pPr>
      <w:bookmarkStart w:id="3" w:name="O_1091484"/>
      <w:bookmarkEnd w:id="3"/>
      <w:r w:rsidRPr="00CC0D63">
        <w:t>Pre-requisite Unit</w:t>
      </w:r>
    </w:p>
    <w:p w:rsidR="006A4830" w:rsidP="006A4830">
      <w:pPr>
        <w:pStyle w:val="BodyText"/>
      </w:pPr>
      <w:r w:rsidRPr="00CC0D63">
        <w:t>Not applicable.</w:t>
      </w:r>
    </w:p>
    <w:p w:rsidR="00000000" w:rsidRPr="00CC0D63" w:rsidP="00CC0D63">
      <w:pPr>
        <w:pStyle w:val="Heading1"/>
      </w:pPr>
      <w:bookmarkStart w:id="4" w:name="O_1091483"/>
      <w:bookmarkEnd w:id="4"/>
      <w:r w:rsidRPr="00CC0D63">
        <w:t>Competency Field</w:t>
      </w:r>
    </w:p>
    <w:p w:rsidR="006A4830" w:rsidP="006A4830">
      <w:pPr>
        <w:pStyle w:val="BodyText"/>
      </w:pPr>
      <w:r w:rsidRPr="00CC0D63">
        <w:t>L ‒ Resource Management</w:t>
      </w:r>
    </w:p>
    <w:p w:rsidR="00000000" w:rsidRPr="00CC0D63" w:rsidP="00CC0D63">
      <w:pPr>
        <w:pStyle w:val="Heading1"/>
      </w:pPr>
      <w:bookmarkStart w:id="5" w:name="O_1091482"/>
      <w:bookmarkEnd w:id="5"/>
      <w:r w:rsidRPr="00CC0D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C0D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t>Rail</w:t>
            </w:r>
            <w:r w:rsidRPr="00CC0D63">
              <w:t xml:space="preserve"> sector.</w:t>
            </w:r>
          </w:p>
        </w:tc>
      </w:tr>
    </w:tbl>
    <w:p w:rsidR="00000000" w:rsidRPr="00CC0D63" w:rsidP="00CC0D63">
      <w:pPr>
        <w:pStyle w:val="NoPaddingFontSize1"/>
      </w:pPr>
    </w:p>
    <w:p w:rsidR="00000000" w:rsidRPr="00CC0D63" w:rsidP="00CC0D63">
      <w:pPr>
        <w:pStyle w:val="AllowPageBreak"/>
      </w:pPr>
    </w:p>
    <w:p w:rsidR="00000000" w:rsidRPr="00CC0D63" w:rsidP="00CC0D63">
      <w:pPr>
        <w:pStyle w:val="Heading1"/>
      </w:pPr>
      <w:bookmarkStart w:id="6" w:name="O_1091481"/>
      <w:bookmarkEnd w:id="6"/>
      <w:r w:rsidRPr="00CC0D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7"/>
        <w:gridCol w:w="3085"/>
        <w:gridCol w:w="1319"/>
        <w:gridCol w:w="4426"/>
      </w:tblGrid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Elements describe the essential outcomes.</w:t>
            </w:r>
          </w:p>
        </w:tc>
        <w:tc>
          <w:tcPr>
            <w:tcW w:w="57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Performance criteria describe the performance needed to demonstrate achievement of the element.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1</w:t>
            </w:r>
          </w:p>
        </w:tc>
        <w:tc>
          <w:tcPr>
            <w:tcW w:w="30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Identify train operating requirements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1.1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Train timetables, shunting requirements and track conditions for each line or service are identified and records are kept up to date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1.2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Tonnage of individual trains is identified to enable planning of suitable motive power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1.3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Routine usage of motive power units is established to provide an initial allocation framework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1.4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Contingency plans covering operational problems are developed and their impact on motive power requirements are taken into account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2</w:t>
            </w:r>
          </w:p>
        </w:tc>
        <w:tc>
          <w:tcPr>
            <w:tcW w:w="30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Establish motive power requirements and availability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2.1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Availability of all motive power units is determined including location, operational status, special and routine maintenance requirements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2.2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Motive power required to haul tonnage is determined fo</w:t>
            </w:r>
            <w:r w:rsidRPr="00CC0D63">
              <w:t>r each train/service and support activity consistent with track geography, gauge, train weight and conditions is identified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3</w:t>
            </w:r>
          </w:p>
        </w:tc>
        <w:tc>
          <w:tcPr>
            <w:tcW w:w="30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Allocate individual motive power units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3.1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Motive power units, including railcar and locomotive types, are allocated to ensure tr</w:t>
            </w:r>
            <w:r w:rsidRPr="00CC0D63">
              <w:t>ain and support activities are serviced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3.2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Allocations are documented and communicated to operations personnel and feedback is sought to ensure suitability of units planned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3.3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Relevant work health and safety (WHS)/occupational health and safety (OHS) requirements are identified and included in allocation considerations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3.4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Documentation authorising the use of allocated motive power for the train service is completed and proce</w:t>
            </w:r>
            <w:r w:rsidRPr="00CC0D63">
              <w:t>ssed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4</w:t>
            </w:r>
          </w:p>
        </w:tc>
        <w:tc>
          <w:tcPr>
            <w:tcW w:w="30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rPr>
                <w:rStyle w:val="SpecialBold"/>
              </w:rPr>
              <w:t>Monitor and adjust motive power allocation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4.1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Use and requirements for motive power are monitored and possible allocation changes are determined to maintain efficient use of resources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4.2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t>Contingency plans for unexpected non-availability of specific motive power units or operational non-performance are implemented</w:t>
            </w:r>
          </w:p>
        </w:tc>
      </w:tr>
      <w:tr w:rsidTr="006A48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6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>
            <w:pPr>
              <w:pStyle w:val="BodyText"/>
              <w:keepLines w:val="0"/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0D63">
            <w:pPr>
              <w:pStyle w:val="BodyText"/>
              <w:rPr>
                <w:lang w:val="en-NZ"/>
              </w:rPr>
            </w:pPr>
            <w:r w:rsidRPr="00CC0D63">
              <w:rPr>
                <w:rStyle w:val="SpecialBold"/>
              </w:rPr>
              <w:t>4.3</w:t>
            </w:r>
          </w:p>
        </w:tc>
        <w:tc>
          <w:tcPr>
            <w:tcW w:w="4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0D63" w:rsidP="00CC0D63">
            <w:pPr>
              <w:pStyle w:val="BodyText"/>
            </w:pPr>
            <w:r w:rsidRPr="00CC0D63">
              <w:t>Changes to allocation are negotiated with operational personnel and motive power maintenance personnel to achieve suitable outcomes</w:t>
            </w:r>
          </w:p>
        </w:tc>
      </w:tr>
    </w:tbl>
    <w:p w:rsidR="00000000" w:rsidRPr="00CC0D63" w:rsidP="00CC0D63">
      <w:pPr>
        <w:pStyle w:val="NoPaddingFontSize1"/>
      </w:pPr>
    </w:p>
    <w:p w:rsidR="00000000" w:rsidRPr="00CC0D63" w:rsidP="00CC0D63">
      <w:pPr>
        <w:pStyle w:val="AllowPageBreak"/>
      </w:pPr>
    </w:p>
    <w:p w:rsidR="00000000" w:rsidRPr="00CC0D63" w:rsidP="00CC0D63">
      <w:pPr>
        <w:pStyle w:val="Heading1"/>
      </w:pPr>
      <w:bookmarkStart w:id="7" w:name="O_1091480"/>
      <w:bookmarkEnd w:id="7"/>
      <w:r w:rsidRPr="00CC0D63">
        <w:t>Foundation Skills</w:t>
      </w:r>
    </w:p>
    <w:p w:rsidR="006A4830" w:rsidP="006A4830">
      <w:pPr>
        <w:pStyle w:val="BodyText"/>
      </w:pPr>
      <w:r w:rsidRPr="00CC0D63">
        <w:t>Foundation skills essential to performance are explicit in the performance criteria o</w:t>
      </w:r>
      <w:r w:rsidRPr="00CC0D63">
        <w:t>f this unit of competency.</w:t>
      </w:r>
    </w:p>
    <w:p w:rsidR="00000000" w:rsidRPr="00CC0D63" w:rsidP="00CC0D63">
      <w:pPr>
        <w:pStyle w:val="Heading1"/>
      </w:pPr>
      <w:bookmarkStart w:id="8" w:name="O_1091479"/>
      <w:bookmarkEnd w:id="8"/>
      <w:r w:rsidRPr="00CC0D63">
        <w:t>Range of Conditions</w:t>
      </w:r>
    </w:p>
    <w:p w:rsidR="00000000" w:rsidRPr="00CC0D63" w:rsidP="006A4830">
      <w:pPr>
        <w:pStyle w:val="BodyText"/>
      </w:pPr>
      <w:r w:rsidRPr="00CC0D63">
        <w:t>Range is restricted to essential operating conditions and any other variables essential to the work environment.</w:t>
      </w:r>
    </w:p>
    <w:p w:rsidR="006A4830" w:rsidP="006A4830">
      <w:pPr>
        <w:pStyle w:val="BodyText"/>
      </w:pPr>
      <w:r w:rsidRPr="00CC0D63">
        <w:t>Non-essential conditions can be found in the Companion Volume Implementation</w:t>
      </w:r>
      <w:r w:rsidRPr="00CC0D63">
        <w:t xml:space="preserve"> Guide.</w:t>
      </w:r>
    </w:p>
    <w:p w:rsidR="00000000" w:rsidRPr="00CC0D63" w:rsidP="00CC0D63">
      <w:pPr>
        <w:pStyle w:val="Heading1"/>
      </w:pPr>
      <w:bookmarkStart w:id="9" w:name="O_1091478"/>
      <w:bookmarkEnd w:id="9"/>
      <w:r w:rsidRPr="00CC0D63">
        <w:t>Unit Mapping Information</w:t>
      </w:r>
    </w:p>
    <w:p w:rsidR="006A4830" w:rsidP="006A4830">
      <w:pPr>
        <w:pStyle w:val="BodyText"/>
      </w:pPr>
      <w:r w:rsidRPr="00CC0D63">
        <w:t>This unit replaces and is equivalent to TLIL3035A Allocate motive power.</w:t>
      </w:r>
    </w:p>
    <w:p w:rsidR="00000000" w:rsidRPr="00CC0D63" w:rsidP="00CC0D63">
      <w:pPr>
        <w:pStyle w:val="Heading1"/>
      </w:pPr>
      <w:bookmarkStart w:id="10" w:name="O_1091487"/>
      <w:bookmarkEnd w:id="10"/>
      <w:r w:rsidRPr="00CC0D63">
        <w:t>Links</w:t>
      </w:r>
    </w:p>
    <w:p w:rsidR="00000000" w:rsidRPr="00CC0D63" w:rsidP="006A4830">
      <w:pPr>
        <w:pStyle w:val="BodyText"/>
      </w:pPr>
      <w:r w:rsidRPr="00CC0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916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C0D63" w:rsidP="00CC0D63"/>
    <w:sectPr w:rsidSect="00CC0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63" w:rsidRPr="006A4830" w:rsidP="006A4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30" w:rsidP="00CC0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830" w:rsidP="00CC0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A4830" w:rsidP="00CC0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0D63" w:rsidRPr="006A4830" w:rsidP="006A4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830" w:rsidRPr="002D2AF8" w:rsidP="00CC0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TLIL3035 Allocate motive power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A4830" w:rsidP="00CC0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864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DABE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0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0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0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0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0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0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0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0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0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0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0D63"/>
  </w:style>
  <w:style w:type="character" w:customStyle="1" w:styleId="Heading1Char">
    <w:name w:val="Heading 1 Char"/>
    <w:basedOn w:val="DefaultParagraphFont"/>
    <w:link w:val="Heading1"/>
    <w:rsid w:val="00CC0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0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0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0D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0D63"/>
    <w:rPr>
      <w:b/>
      <w:spacing w:val="0"/>
    </w:rPr>
  </w:style>
  <w:style w:type="paragraph" w:customStyle="1" w:styleId="SuperHeading">
    <w:name w:val="SuperHeading"/>
    <w:basedOn w:val="Normal"/>
    <w:rsid w:val="00CC0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0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C0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0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0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0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0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0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0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0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0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0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0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0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0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0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0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0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0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0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0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0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0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0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0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0D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0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0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0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0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0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0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0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0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0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0D63"/>
    <w:rPr>
      <w:i/>
    </w:rPr>
  </w:style>
  <w:style w:type="paragraph" w:styleId="Caption">
    <w:name w:val="caption"/>
    <w:basedOn w:val="BodyText"/>
    <w:next w:val="Normal"/>
    <w:qFormat/>
    <w:rsid w:val="00CC0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0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0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0D63"/>
  </w:style>
  <w:style w:type="paragraph" w:styleId="TableofFigures">
    <w:name w:val="table of figures"/>
    <w:basedOn w:val="Normal"/>
    <w:next w:val="Normal"/>
    <w:semiHidden/>
    <w:rsid w:val="00CC0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0D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0D63"/>
    <w:rPr>
      <w:rFonts w:ascii="Wingdings" w:hAnsi="Wingdings"/>
    </w:rPr>
  </w:style>
  <w:style w:type="paragraph" w:customStyle="1" w:styleId="TableHeading">
    <w:name w:val="Table Heading"/>
    <w:basedOn w:val="HeadingBase"/>
    <w:rsid w:val="00CC0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0D63"/>
    <w:rPr>
      <w:color w:val="0033CC"/>
      <w:u w:val="none"/>
    </w:rPr>
  </w:style>
  <w:style w:type="paragraph" w:customStyle="1" w:styleId="BodyTextRight">
    <w:name w:val="Body Text Right"/>
    <w:basedOn w:val="BodyText"/>
    <w:rsid w:val="00CC0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0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0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0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0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0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0D63"/>
    <w:rPr>
      <w:sz w:val="32"/>
    </w:rPr>
  </w:style>
  <w:style w:type="paragraph" w:customStyle="1" w:styleId="HeadingProcedure">
    <w:name w:val="Heading Procedure"/>
    <w:basedOn w:val="HeadingBase"/>
    <w:next w:val="Normal"/>
    <w:rsid w:val="00CC0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0D63"/>
    <w:pPr>
      <w:spacing w:before="60" w:after="60"/>
    </w:pPr>
  </w:style>
  <w:style w:type="paragraph" w:styleId="ListContinue">
    <w:name w:val="List Continue"/>
    <w:basedOn w:val="List"/>
    <w:rsid w:val="00CC0D63"/>
    <w:pPr>
      <w:ind w:firstLine="0"/>
    </w:pPr>
  </w:style>
  <w:style w:type="paragraph" w:customStyle="1" w:styleId="ListNote">
    <w:name w:val="List Note"/>
    <w:basedOn w:val="List"/>
    <w:rsid w:val="00CC0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0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0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0D63"/>
    <w:rPr>
      <w:rFonts w:ascii="Courier New" w:hAnsi="Courier New"/>
    </w:rPr>
  </w:style>
  <w:style w:type="paragraph" w:customStyle="1" w:styleId="NoteBullet">
    <w:name w:val="Note Bullet"/>
    <w:basedOn w:val="Note"/>
    <w:rsid w:val="00CC0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0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0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0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0D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0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0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0D63"/>
    <w:rPr>
      <w:b/>
      <w:smallCaps/>
    </w:rPr>
  </w:style>
  <w:style w:type="paragraph" w:customStyle="1" w:styleId="TableListNumber">
    <w:name w:val="Table List Number"/>
    <w:basedOn w:val="ListNumber"/>
    <w:rsid w:val="00CC0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0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0D63"/>
    <w:pPr>
      <w:numPr>
        <w:numId w:val="8"/>
      </w:numPr>
    </w:pPr>
  </w:style>
  <w:style w:type="paragraph" w:customStyle="1" w:styleId="ListAlpha2">
    <w:name w:val="List Alpha 2"/>
    <w:basedOn w:val="List2"/>
    <w:rsid w:val="00CC0D63"/>
    <w:pPr>
      <w:numPr>
        <w:numId w:val="7"/>
      </w:numPr>
    </w:pPr>
  </w:style>
  <w:style w:type="paragraph" w:styleId="List2">
    <w:name w:val="List 2"/>
    <w:basedOn w:val="BodyText"/>
    <w:rsid w:val="00CC0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0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0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0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0D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0D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0D63"/>
    <w:pPr>
      <w:numPr>
        <w:numId w:val="3"/>
      </w:numPr>
    </w:pPr>
  </w:style>
  <w:style w:type="paragraph" w:styleId="ListContinue2">
    <w:name w:val="List Continue 2"/>
    <w:basedOn w:val="List2"/>
    <w:rsid w:val="00CC0D63"/>
    <w:pPr>
      <w:ind w:firstLine="0"/>
    </w:pPr>
  </w:style>
  <w:style w:type="paragraph" w:styleId="ListContinue3">
    <w:name w:val="List Continue 3"/>
    <w:basedOn w:val="List3"/>
    <w:rsid w:val="00CC0D63"/>
    <w:pPr>
      <w:ind w:left="1021" w:firstLine="0"/>
    </w:pPr>
  </w:style>
  <w:style w:type="paragraph" w:styleId="ListContinue4">
    <w:name w:val="List Continue 4"/>
    <w:basedOn w:val="List4"/>
    <w:rsid w:val="00CC0D63"/>
    <w:pPr>
      <w:ind w:firstLine="0"/>
    </w:pPr>
  </w:style>
  <w:style w:type="paragraph" w:styleId="ListContinue5">
    <w:name w:val="List Continue 5"/>
    <w:basedOn w:val="List5"/>
    <w:rsid w:val="00CC0D63"/>
    <w:pPr>
      <w:ind w:firstLine="0"/>
    </w:pPr>
  </w:style>
  <w:style w:type="paragraph" w:styleId="ListNumber3">
    <w:name w:val="List Number 3"/>
    <w:basedOn w:val="List3"/>
    <w:rsid w:val="00CC0D63"/>
    <w:pPr>
      <w:numPr>
        <w:numId w:val="4"/>
      </w:numPr>
    </w:pPr>
  </w:style>
  <w:style w:type="paragraph" w:styleId="ListNumber4">
    <w:name w:val="List Number 4"/>
    <w:basedOn w:val="List4"/>
    <w:rsid w:val="00CC0D63"/>
    <w:pPr>
      <w:numPr>
        <w:numId w:val="5"/>
      </w:numPr>
    </w:pPr>
  </w:style>
  <w:style w:type="paragraph" w:styleId="ListNumber5">
    <w:name w:val="List Number 5"/>
    <w:basedOn w:val="List5"/>
    <w:rsid w:val="00CC0D63"/>
    <w:pPr>
      <w:numPr>
        <w:numId w:val="6"/>
      </w:numPr>
    </w:pPr>
  </w:style>
  <w:style w:type="paragraph" w:styleId="BlockText">
    <w:name w:val="Block Text"/>
    <w:basedOn w:val="Normal"/>
    <w:rsid w:val="00CC0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0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0D63"/>
    <w:rPr>
      <w:sz w:val="16"/>
      <w:vertAlign w:val="superscript"/>
    </w:rPr>
  </w:style>
  <w:style w:type="character" w:customStyle="1" w:styleId="Symbols">
    <w:name w:val="Symbols"/>
    <w:basedOn w:val="DefaultParagraphFont"/>
    <w:rsid w:val="00CC0D63"/>
    <w:rPr>
      <w:rFonts w:ascii="Symbol" w:hAnsi="Symbol"/>
    </w:rPr>
  </w:style>
  <w:style w:type="character" w:customStyle="1" w:styleId="MenuOptions">
    <w:name w:val="Menu Options"/>
    <w:basedOn w:val="DefaultParagraphFont"/>
    <w:rsid w:val="00CC0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0D63"/>
    <w:rPr>
      <w:b/>
    </w:rPr>
  </w:style>
  <w:style w:type="character" w:customStyle="1" w:styleId="Underlined">
    <w:name w:val="Underlined"/>
    <w:basedOn w:val="DefaultParagraphFont"/>
    <w:rsid w:val="00CC0D63"/>
    <w:rPr>
      <w:u w:val="single"/>
    </w:rPr>
  </w:style>
  <w:style w:type="paragraph" w:customStyle="1" w:styleId="TableBodyTextRight">
    <w:name w:val="Table Body Text Right"/>
    <w:basedOn w:val="TableBodyText"/>
    <w:rsid w:val="00CC0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0D63"/>
    <w:rPr>
      <w:sz w:val="18"/>
    </w:rPr>
  </w:style>
  <w:style w:type="paragraph" w:customStyle="1" w:styleId="BodySmallRight">
    <w:name w:val="Body Small Right"/>
    <w:basedOn w:val="BodyTextRight"/>
    <w:rsid w:val="00CC0D63"/>
    <w:rPr>
      <w:sz w:val="18"/>
      <w:szCs w:val="18"/>
    </w:rPr>
  </w:style>
  <w:style w:type="paragraph" w:customStyle="1" w:styleId="MarginEdition">
    <w:name w:val="Margin Edition"/>
    <w:basedOn w:val="MarginNote"/>
    <w:rsid w:val="00CC0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0D63"/>
    <w:rPr>
      <w:sz w:val="2"/>
      <w:szCs w:val="2"/>
    </w:rPr>
  </w:style>
  <w:style w:type="character" w:customStyle="1" w:styleId="Small">
    <w:name w:val="Small"/>
    <w:basedOn w:val="DefaultParagraphFont"/>
    <w:rsid w:val="00CC0D63"/>
    <w:rPr>
      <w:sz w:val="16"/>
    </w:rPr>
  </w:style>
  <w:style w:type="paragraph" w:customStyle="1" w:styleId="WideTable">
    <w:name w:val="Wide Table"/>
    <w:basedOn w:val="Normal"/>
    <w:rsid w:val="00CC0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0D63"/>
  </w:style>
  <w:style w:type="paragraph" w:styleId="Quote">
    <w:name w:val="Quote"/>
    <w:basedOn w:val="Heading1"/>
    <w:link w:val="QuoteChar"/>
    <w:qFormat/>
    <w:rsid w:val="00CC0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0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0D63"/>
    <w:pPr>
      <w:pageBreakBefore/>
    </w:pPr>
  </w:style>
  <w:style w:type="paragraph" w:customStyle="1" w:styleId="Border">
    <w:name w:val="Border"/>
    <w:basedOn w:val="Normal"/>
    <w:qFormat/>
    <w:rsid w:val="00CC0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0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0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0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0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0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0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0D63"/>
    <w:rPr>
      <w:u w:val="single"/>
    </w:rPr>
  </w:style>
  <w:style w:type="character" w:customStyle="1" w:styleId="BoldandItalics">
    <w:name w:val="Bold and Italics"/>
    <w:qFormat/>
    <w:rsid w:val="00CC0D63"/>
    <w:rPr>
      <w:b/>
      <w:i/>
      <w:u w:val="none"/>
    </w:rPr>
  </w:style>
  <w:style w:type="paragraph" w:styleId="BalloonText">
    <w:name w:val="Balloon Text"/>
    <w:basedOn w:val="Normal"/>
    <w:link w:val="BalloonTextChar"/>
    <w:rsid w:val="00CC0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0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0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0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0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0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0D63"/>
    <w:pPr>
      <w:spacing w:before="0" w:after="0"/>
    </w:pPr>
  </w:style>
  <w:style w:type="paragraph" w:customStyle="1" w:styleId="BodyTextBold">
    <w:name w:val="Body Text Bold"/>
    <w:basedOn w:val="BodyText"/>
    <w:qFormat/>
    <w:rsid w:val="00CC0D63"/>
    <w:rPr>
      <w:b/>
    </w:rPr>
  </w:style>
  <w:style w:type="character" w:styleId="Hyperlink">
    <w:name w:val="Hyperlink"/>
    <w:basedOn w:val="DefaultParagraphFont"/>
    <w:uiPriority w:val="99"/>
    <w:unhideWhenUsed/>
    <w:rsid w:val="006A4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3779</Characters>
  <Application>Microsoft Office Word</Application>
  <DocSecurity>0</DocSecurity>
  <Lines>157</Lines>
  <Paragraphs>79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TLIL3035 Allocate motive power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2024-07-12T07:29:00Z</dcterms:created>
  <dcterms:modified xsi:type="dcterms:W3CDTF">2024-07-12T07:29:00Z</dcterms:modified>
</cp:coreProperties>
</file>