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387" w:rsidP="006C33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TLIL3035 Allocate motive power</w:t>
      </w:r>
      <w:r>
        <w:fldChar w:fldCharType="end"/>
      </w:r>
    </w:p>
    <w:p w:rsidR="006C3387" w:rsidP="006C3387">
      <w:pPr>
        <w:pStyle w:val="Version"/>
        <w:sectPr w:rsidSect="005B38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386B" w:rsidP="005B386B">
      <w:pPr>
        <w:pStyle w:val="SuperHeading"/>
      </w:pPr>
      <w:r w:rsidRPr="005B386B">
        <w:t>Assessment Requirements for TLIL3035 Allocate motive power</w:t>
      </w:r>
    </w:p>
    <w:p w:rsidR="00000000" w:rsidRPr="005B386B" w:rsidP="005B386B">
      <w:pPr>
        <w:pStyle w:val="Heading1"/>
      </w:pPr>
      <w:bookmarkStart w:id="1" w:name="O_1091476"/>
      <w:bookmarkEnd w:id="1"/>
      <w:r w:rsidRPr="005B38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86B" w:rsidP="005B386B">
            <w:pPr>
              <w:pStyle w:val="BodyText"/>
            </w:pPr>
            <w:r w:rsidRPr="005B386B">
              <w:rPr>
                <w:rStyle w:val="SpecialBold"/>
              </w:rPr>
              <w:t>Release 2</w:t>
            </w:r>
            <w:r w:rsidRPr="005B386B">
              <w:t>. This is the second release of this unit of competency in the TLI Transport and Logistics Training Package:</w:t>
            </w:r>
          </w:p>
          <w:p w:rsidR="00000000" w:rsidP="005B386B">
            <w:pPr>
              <w:pStyle w:val="ListBullet"/>
              <w:rPr>
                <w:lang w:val="en-NZ"/>
              </w:rPr>
            </w:pPr>
            <w:r w:rsidRPr="005B386B">
              <w:t>Minor statement changes in Assessment Conditions.</w:t>
            </w:r>
          </w:p>
        </w:tc>
      </w:tr>
      <w:tr w:rsidTr="005B3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86B" w:rsidP="005B386B">
            <w:pPr>
              <w:pStyle w:val="BodyText"/>
            </w:pPr>
            <w:r w:rsidRPr="005B386B">
              <w:rPr>
                <w:rStyle w:val="SpecialBold"/>
              </w:rPr>
              <w:t>Release 1</w:t>
            </w:r>
            <w:r w:rsidRPr="005B386B">
              <w:t>. This is the first release of this un</w:t>
            </w:r>
            <w:r w:rsidRPr="005B386B">
              <w:t>it of competency in the TLI Transport and Logistics Training Package.</w:t>
            </w:r>
          </w:p>
        </w:tc>
      </w:tr>
    </w:tbl>
    <w:p w:rsidR="00000000" w:rsidRPr="005B386B" w:rsidP="005B386B">
      <w:pPr>
        <w:pStyle w:val="NoPaddingFontSize1"/>
      </w:pPr>
    </w:p>
    <w:p w:rsidR="00000000" w:rsidRPr="005B386B" w:rsidP="005B386B">
      <w:pPr>
        <w:pStyle w:val="AllowPageBreak"/>
      </w:pPr>
    </w:p>
    <w:p w:rsidR="00000000" w:rsidRPr="005B386B" w:rsidP="005B386B">
      <w:pPr>
        <w:pStyle w:val="Heading1"/>
      </w:pPr>
      <w:bookmarkStart w:id="2" w:name="O_1091475"/>
      <w:bookmarkEnd w:id="2"/>
      <w:r w:rsidRPr="005B386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86B">
            <w:pPr>
              <w:pStyle w:val="BodyText"/>
              <w:rPr>
                <w:lang w:val="en-NZ"/>
              </w:rPr>
            </w:pPr>
            <w:r w:rsidRPr="005B386B">
              <w:t>Evidence required to demonstrate competence in this unit must be relevant to and satisfy all of the requirements of the elements and performance</w:t>
            </w:r>
            <w:r w:rsidRPr="005B386B">
              <w:t xml:space="preserve"> criteria on at least one occasion and include:</w:t>
            </w:r>
          </w:p>
        </w:tc>
      </w:tr>
      <w:tr w:rsidTr="005B3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86B" w:rsidP="005B386B">
            <w:pPr>
              <w:pStyle w:val="ListBullet"/>
            </w:pPr>
            <w:r w:rsidRPr="005B386B">
              <w:t>adjusting motive power allocation</w:t>
            </w:r>
          </w:p>
          <w:p w:rsidR="00000000" w:rsidRPr="005B386B" w:rsidP="005B386B">
            <w:pPr>
              <w:pStyle w:val="ListBullet"/>
            </w:pPr>
            <w:r w:rsidRPr="005B386B">
              <w:t>applying relevant safeworking system and workplace procedures</w:t>
            </w:r>
          </w:p>
          <w:p w:rsidR="00000000" w:rsidRPr="005B386B" w:rsidP="005B386B">
            <w:pPr>
              <w:pStyle w:val="ListBullet"/>
            </w:pPr>
            <w:r w:rsidRPr="005B386B">
              <w:t xml:space="preserve">communicating and negotiating effectively with others </w:t>
            </w:r>
          </w:p>
          <w:p w:rsidR="00000000" w:rsidRPr="005B386B" w:rsidP="005B386B">
            <w:pPr>
              <w:pStyle w:val="ListBullet"/>
            </w:pPr>
            <w:r w:rsidRPr="005B386B">
              <w:t>completing relevant documentation</w:t>
            </w:r>
          </w:p>
          <w:p w:rsidR="00000000" w:rsidRPr="005B386B" w:rsidP="005B386B">
            <w:pPr>
              <w:pStyle w:val="ListBullet"/>
            </w:pPr>
            <w:r w:rsidRPr="005B386B">
              <w:t>establis</w:t>
            </w:r>
            <w:r w:rsidRPr="005B386B">
              <w:t>hing motive power requirements and availability, and allocating individual motive power units</w:t>
            </w:r>
          </w:p>
          <w:p w:rsidR="00000000" w:rsidRPr="005B386B" w:rsidP="005B386B">
            <w:pPr>
              <w:pStyle w:val="ListBullet"/>
            </w:pPr>
            <w:r w:rsidRPr="005B386B">
              <w:t xml:space="preserve">identifying job hazards and taking required action to minimise, control or eliminate identified hazards </w:t>
            </w:r>
          </w:p>
          <w:p w:rsidR="00000000" w:rsidRPr="005B386B" w:rsidP="005B386B">
            <w:pPr>
              <w:pStyle w:val="ListBullet"/>
            </w:pPr>
            <w:r w:rsidRPr="005B386B">
              <w:t>identifying train operating requirements</w:t>
            </w:r>
          </w:p>
          <w:p w:rsidR="00000000" w:rsidRPr="005B386B" w:rsidP="005B386B">
            <w:pPr>
              <w:pStyle w:val="ListBullet"/>
            </w:pPr>
            <w:r w:rsidRPr="005B386B">
              <w:t>implementing con</w:t>
            </w:r>
            <w:r w:rsidRPr="005B386B">
              <w:t xml:space="preserve">tingency plans </w:t>
            </w:r>
          </w:p>
          <w:p w:rsidR="00000000" w:rsidRPr="005B386B" w:rsidP="005B386B">
            <w:pPr>
              <w:pStyle w:val="ListBullet"/>
            </w:pPr>
            <w:r w:rsidRPr="005B386B">
              <w:t>interpreting and following operational instructions and prioritising work</w:t>
            </w:r>
          </w:p>
          <w:p w:rsidR="00000000" w:rsidRPr="005B386B" w:rsidP="005B386B">
            <w:pPr>
              <w:pStyle w:val="ListBullet"/>
            </w:pPr>
            <w:r w:rsidRPr="005B386B">
              <w:t>modifying activities depending on operational contingencies, risk situations and environments</w:t>
            </w:r>
          </w:p>
          <w:p w:rsidR="00000000" w:rsidRPr="005B386B" w:rsidP="005B386B">
            <w:pPr>
              <w:pStyle w:val="ListBullet"/>
            </w:pPr>
            <w:r w:rsidRPr="005B386B">
              <w:t>monitoring work activities in terms of planned schedule</w:t>
            </w:r>
          </w:p>
          <w:p w:rsidR="00000000" w:rsidRPr="005B386B" w:rsidP="005B386B">
            <w:pPr>
              <w:pStyle w:val="ListBullet"/>
            </w:pPr>
            <w:r w:rsidRPr="005B386B">
              <w:t>operating and ad</w:t>
            </w:r>
            <w:r w:rsidRPr="005B386B">
              <w:t>apting to differences in equipment in accordance with operating procedures</w:t>
            </w:r>
          </w:p>
          <w:p w:rsidR="00000000" w:rsidRPr="005B386B" w:rsidP="005B386B">
            <w:pPr>
              <w:pStyle w:val="ListBullet"/>
            </w:pPr>
            <w:r w:rsidRPr="005B386B">
              <w:t xml:space="preserve">reading and interpreting relevant instructions, procedures and information </w:t>
            </w:r>
          </w:p>
          <w:p w:rsidR="00000000" w:rsidRPr="005B386B" w:rsidP="005B386B">
            <w:pPr>
              <w:pStyle w:val="ListBullet"/>
            </w:pPr>
            <w:r w:rsidRPr="005B386B">
              <w:t>reading and interpreting train graphs and diagrams</w:t>
            </w:r>
          </w:p>
          <w:p w:rsidR="00000000" w:rsidRPr="005B386B" w:rsidP="005B386B">
            <w:pPr>
              <w:pStyle w:val="ListBullet"/>
            </w:pPr>
            <w:r w:rsidRPr="005B386B">
              <w:t>reporting and/or rectifying problems, faults or malfun</w:t>
            </w:r>
            <w:r w:rsidRPr="005B386B">
              <w:t>ctions in accordance with regulatory requirements and workplace procedures</w:t>
            </w:r>
          </w:p>
          <w:p w:rsidR="00000000" w:rsidRPr="005B386B" w:rsidP="005B386B">
            <w:pPr>
              <w:pStyle w:val="ListBullet"/>
            </w:pPr>
            <w:r w:rsidRPr="005B386B">
              <w:t>selecting and using relevant computing and communications equipment and materials when allocating motive power</w:t>
            </w:r>
          </w:p>
          <w:p w:rsidR="00000000" w:rsidRPr="005B386B" w:rsidP="005B386B">
            <w:pPr>
              <w:pStyle w:val="ListBullet"/>
            </w:pPr>
            <w:r w:rsidRPr="005B386B">
              <w:t>selecting and using required personal protective equipment (PPE) confo</w:t>
            </w:r>
            <w:r w:rsidRPr="005B386B">
              <w:t>rming to industry and work health and safety (WHS)/occupational health and safety (OHS) standards</w:t>
            </w:r>
          </w:p>
          <w:p w:rsidR="00000000" w:rsidRPr="005B386B" w:rsidP="005B386B">
            <w:pPr>
              <w:pStyle w:val="ListBullet"/>
            </w:pPr>
            <w:r w:rsidRPr="005B386B">
              <w:t>working collaboratively with others when allocating motive power</w:t>
            </w:r>
          </w:p>
          <w:p w:rsidR="00000000" w:rsidRPr="005B386B" w:rsidP="005B386B">
            <w:pPr>
              <w:pStyle w:val="ListBullet"/>
            </w:pPr>
            <w:r w:rsidRPr="005B386B">
              <w:t>working systematically with required attention to detail without injury to self or others, or damage to goods or equipment.</w:t>
            </w:r>
          </w:p>
        </w:tc>
      </w:tr>
    </w:tbl>
    <w:p w:rsidR="00000000" w:rsidRPr="005B386B" w:rsidP="005B386B">
      <w:pPr>
        <w:pStyle w:val="NoPaddingFontSize1"/>
      </w:pPr>
    </w:p>
    <w:p w:rsidR="00000000" w:rsidRPr="005B386B" w:rsidP="005B386B">
      <w:pPr>
        <w:pStyle w:val="AllowPageBreak"/>
      </w:pPr>
    </w:p>
    <w:p w:rsidR="00000000" w:rsidRPr="005B386B" w:rsidP="005B386B">
      <w:pPr>
        <w:pStyle w:val="Heading1"/>
      </w:pPr>
      <w:bookmarkStart w:id="3" w:name="O_1091474"/>
      <w:bookmarkEnd w:id="3"/>
      <w:r w:rsidRPr="005B386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86B">
            <w:pPr>
              <w:pStyle w:val="BodyText"/>
              <w:rPr>
                <w:lang w:val="en-NZ"/>
              </w:rPr>
            </w:pPr>
            <w:r w:rsidRPr="005B386B">
              <w:t>Evidence required to demonstrate competence in this unit must be relevant to and satisfy all</w:t>
            </w:r>
            <w:r w:rsidRPr="005B386B">
              <w:t xml:space="preserve"> of the requirements of the elements and performance criteria and include knowledge of:</w:t>
            </w:r>
          </w:p>
        </w:tc>
      </w:tr>
      <w:tr w:rsidTr="005B3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86B" w:rsidP="005B386B">
            <w:pPr>
              <w:pStyle w:val="ListBullet"/>
            </w:pPr>
            <w:r w:rsidRPr="005B386B">
              <w:t>allocation and maintenance schedules for motive power units</w:t>
            </w:r>
          </w:p>
          <w:p w:rsidR="00000000" w:rsidRPr="005B386B" w:rsidP="005B386B">
            <w:pPr>
              <w:pStyle w:val="ListBullet"/>
            </w:pPr>
            <w:r w:rsidRPr="005B386B">
              <w:t>applicable state/territory legislated rail safety requirements, relevant codes of practice and/or guidelin</w:t>
            </w:r>
            <w:r w:rsidRPr="005B386B">
              <w:t>es</w:t>
            </w:r>
          </w:p>
          <w:p w:rsidR="00000000" w:rsidRPr="005B386B" w:rsidP="005B386B">
            <w:pPr>
              <w:pStyle w:val="ListBullet"/>
            </w:pPr>
            <w:r w:rsidRPr="005B386B">
              <w:t>communication and negotiation requirements when allocating motive power</w:t>
            </w:r>
          </w:p>
          <w:p w:rsidR="00000000" w:rsidRPr="005B386B" w:rsidP="005B386B">
            <w:pPr>
              <w:pStyle w:val="ListBullet"/>
            </w:pPr>
            <w:r w:rsidRPr="005B386B">
              <w:t>crew requirements and working patterns</w:t>
            </w:r>
          </w:p>
          <w:p w:rsidR="00000000" w:rsidRPr="005B386B" w:rsidP="005B386B">
            <w:pPr>
              <w:pStyle w:val="ListBullet"/>
            </w:pPr>
            <w:r w:rsidRPr="005B386B">
              <w:t>documentation and record requirements</w:t>
            </w:r>
          </w:p>
          <w:p w:rsidR="00000000" w:rsidRPr="005B386B" w:rsidP="005B386B">
            <w:pPr>
              <w:pStyle w:val="ListBullet"/>
            </w:pPr>
            <w:r w:rsidRPr="005B386B">
              <w:t>emergency management procedures</w:t>
            </w:r>
          </w:p>
          <w:p w:rsidR="00000000" w:rsidRPr="005B386B" w:rsidP="005B386B">
            <w:pPr>
              <w:pStyle w:val="ListBullet"/>
            </w:pPr>
            <w:r w:rsidRPr="005B386B">
              <w:t>equipment and materials used when allocating motive power, and procedures that should be followed in their use</w:t>
            </w:r>
          </w:p>
          <w:p w:rsidR="00000000" w:rsidRPr="005B386B" w:rsidP="005B386B">
            <w:pPr>
              <w:pStyle w:val="ListBullet"/>
            </w:pPr>
            <w:r w:rsidRPr="005B386B">
              <w:t>gauges, distance, gradients and tonnages for relevant track area</w:t>
            </w:r>
          </w:p>
          <w:p w:rsidR="00000000" w:rsidRPr="005B386B" w:rsidP="005B386B">
            <w:pPr>
              <w:pStyle w:val="ListBullet"/>
            </w:pPr>
            <w:r w:rsidRPr="005B386B">
              <w:t>motive power units and specifications, capabilities and capacity</w:t>
            </w:r>
          </w:p>
          <w:p w:rsidR="00000000" w:rsidRPr="005B386B" w:rsidP="005B386B">
            <w:pPr>
              <w:pStyle w:val="ListBullet"/>
            </w:pPr>
            <w:r w:rsidRPr="005B386B">
              <w:t>problems that m</w:t>
            </w:r>
            <w:r w:rsidRPr="005B386B">
              <w:t>ay occur when allocating motive power and appropriate action that can be taken to resolve these problems</w:t>
            </w:r>
          </w:p>
          <w:p w:rsidR="00000000" w:rsidRPr="005B386B" w:rsidP="005B386B">
            <w:pPr>
              <w:pStyle w:val="ListBullet"/>
            </w:pPr>
            <w:r w:rsidRPr="005B386B">
              <w:t>relevant WHS/OHS and environmental procedures and regulations, including codes of practice</w:t>
            </w:r>
          </w:p>
          <w:p w:rsidR="00000000" w:rsidRPr="005B386B" w:rsidP="005B386B">
            <w:pPr>
              <w:pStyle w:val="ListBullet"/>
            </w:pPr>
            <w:r w:rsidRPr="005B386B">
              <w:t>timetables and train details</w:t>
            </w:r>
          </w:p>
          <w:p w:rsidR="00000000" w:rsidRPr="005B386B" w:rsidP="005B386B">
            <w:pPr>
              <w:pStyle w:val="ListBullet"/>
            </w:pPr>
            <w:r w:rsidRPr="005B386B">
              <w:t>track specifications and limita</w:t>
            </w:r>
            <w:r w:rsidRPr="005B386B">
              <w:t>tions</w:t>
            </w:r>
          </w:p>
          <w:p w:rsidR="00000000" w:rsidRPr="005B386B" w:rsidP="005B386B">
            <w:pPr>
              <w:pStyle w:val="ListBullet"/>
            </w:pPr>
            <w:r w:rsidRPr="005B386B">
              <w:t>workplace procedures and policies for allocating motive power.</w:t>
            </w:r>
          </w:p>
        </w:tc>
      </w:tr>
    </w:tbl>
    <w:p w:rsidR="00000000" w:rsidRPr="005B386B" w:rsidP="005B386B">
      <w:pPr>
        <w:pStyle w:val="NoPaddingFontSize1"/>
      </w:pPr>
    </w:p>
    <w:p w:rsidR="00000000" w:rsidRPr="005B386B" w:rsidP="005B386B">
      <w:pPr>
        <w:pStyle w:val="AllowPageBreak"/>
      </w:pPr>
    </w:p>
    <w:p w:rsidR="00000000" w:rsidRPr="005B386B" w:rsidP="005B386B">
      <w:pPr>
        <w:pStyle w:val="Heading1"/>
      </w:pPr>
      <w:bookmarkStart w:id="4" w:name="O_1091473"/>
      <w:bookmarkEnd w:id="4"/>
      <w:r w:rsidRPr="005B386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86B" w:rsidP="005B386B">
            <w:pPr>
              <w:pStyle w:val="BodyText"/>
            </w:pPr>
            <w:r w:rsidRPr="005B386B">
              <w:t xml:space="preserve">Assessors must hold credentials specified within the Standards for Registered Training Organisations current at the time of assessment. </w:t>
            </w:r>
          </w:p>
          <w:p w:rsidR="00000000" w:rsidRPr="005B386B" w:rsidP="005B386B">
            <w:pPr>
              <w:pStyle w:val="BodyText"/>
            </w:pPr>
            <w:r w:rsidRPr="005B386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B386B" w:rsidP="005B386B">
            <w:pPr>
              <w:pStyle w:val="BodyText"/>
            </w:pPr>
            <w:r w:rsidRPr="005B386B">
              <w:t>Assessment must occur in workplace operational</w:t>
            </w:r>
            <w:r w:rsidRPr="005B386B">
              <w:t xml:space="preserve"> situations or, where this is not available, in simulated workplace operational situations that replicate rail workplace conditions.</w:t>
            </w:r>
          </w:p>
          <w:p w:rsidR="00000000" w:rsidRPr="005B386B" w:rsidP="005B386B">
            <w:pPr>
              <w:pStyle w:val="BodyText"/>
            </w:pPr>
            <w:r w:rsidRPr="005B386B">
              <w:t>Assessment processes and techniques must be appropriate to the language, literacy and numeracy requirements of the work bei</w:t>
            </w:r>
            <w:r w:rsidRPr="005B386B">
              <w:t>ng performed and the needs of the candidate.</w:t>
            </w:r>
          </w:p>
          <w:p w:rsidR="00000000" w:rsidRPr="005B386B" w:rsidP="005B386B">
            <w:pPr>
              <w:pStyle w:val="BodyText"/>
            </w:pPr>
            <w:r w:rsidRPr="005B386B">
              <w:t>Resources for assessment must include:</w:t>
            </w:r>
          </w:p>
          <w:p w:rsidR="00000000" w:rsidRPr="005B386B" w:rsidP="005B386B">
            <w:pPr>
              <w:pStyle w:val="ListBullet"/>
            </w:pPr>
            <w:r w:rsidRPr="005B386B">
              <w:t>a range of relevant exercises, case studies and/or simulations</w:t>
            </w:r>
          </w:p>
          <w:p w:rsidR="00000000" w:rsidRPr="005B386B" w:rsidP="005B386B">
            <w:pPr>
              <w:pStyle w:val="ListBullet"/>
            </w:pPr>
            <w:r w:rsidRPr="005B386B">
              <w:t>relevant and appropriate materials, tools, equipment and PPE currently used in industry</w:t>
            </w:r>
          </w:p>
          <w:p w:rsidR="00000000" w:rsidRPr="005B386B" w:rsidP="005B386B">
            <w:pPr>
              <w:pStyle w:val="ListBullet"/>
            </w:pPr>
            <w:r w:rsidRPr="005B386B">
              <w:t>applicable documenta</w:t>
            </w:r>
            <w:r w:rsidRPr="005B386B">
              <w:t>tion, including workplace procedures, regulations, rail industry standards, codes of practice and operation manuals.</w:t>
            </w:r>
          </w:p>
        </w:tc>
      </w:tr>
    </w:tbl>
    <w:p w:rsidR="00000000" w:rsidRPr="005B386B" w:rsidP="005B386B">
      <w:pPr>
        <w:pStyle w:val="NoPaddingFontSize1"/>
      </w:pPr>
    </w:p>
    <w:p w:rsidR="00000000" w:rsidRPr="005B386B" w:rsidP="005B386B">
      <w:pPr>
        <w:pStyle w:val="AllowPageBreak"/>
      </w:pPr>
    </w:p>
    <w:p w:rsidR="00000000" w:rsidRPr="005B386B" w:rsidP="005B386B">
      <w:pPr>
        <w:pStyle w:val="Heading1"/>
      </w:pPr>
      <w:bookmarkStart w:id="5" w:name="O_1091488"/>
      <w:bookmarkEnd w:id="5"/>
      <w:r w:rsidRPr="005B386B">
        <w:t>Links</w:t>
      </w:r>
    </w:p>
    <w:p w:rsidR="00000000" w:rsidRPr="005B386B" w:rsidP="006C3387">
      <w:pPr>
        <w:pStyle w:val="BodyText"/>
      </w:pPr>
      <w:r w:rsidRPr="005B38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C71A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B386B" w:rsidP="005B386B"/>
    <w:sectPr w:rsidSect="005B38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8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86B" w:rsidRPr="006C3387" w:rsidP="006C33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8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87" w:rsidP="005B38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3387" w:rsidP="005B38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C3387" w:rsidP="005B38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8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86B" w:rsidRPr="006C3387" w:rsidP="006C33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8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87" w:rsidRPr="002D2AF8" w:rsidP="005B38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TLIL3035 Allocate motive power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C3387" w:rsidP="005B38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1A4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E2B3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8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8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8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8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8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8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8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8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8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8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8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86B"/>
  </w:style>
  <w:style w:type="character" w:customStyle="1" w:styleId="Heading1Char">
    <w:name w:val="Heading 1 Char"/>
    <w:basedOn w:val="DefaultParagraphFont"/>
    <w:link w:val="Heading1"/>
    <w:rsid w:val="005B38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8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8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38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386B"/>
    <w:rPr>
      <w:b/>
      <w:spacing w:val="0"/>
    </w:rPr>
  </w:style>
  <w:style w:type="paragraph" w:customStyle="1" w:styleId="SuperHeading">
    <w:name w:val="SuperHeading"/>
    <w:basedOn w:val="Normal"/>
    <w:rsid w:val="005B38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8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38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8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8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8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8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8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8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8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8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8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8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8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8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8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8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38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8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8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8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8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8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8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8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8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8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8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8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8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8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86B"/>
    <w:rPr>
      <w:i/>
    </w:rPr>
  </w:style>
  <w:style w:type="paragraph" w:styleId="Caption">
    <w:name w:val="caption"/>
    <w:basedOn w:val="BodyText"/>
    <w:next w:val="Normal"/>
    <w:qFormat/>
    <w:rsid w:val="005B38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8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8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86B"/>
  </w:style>
  <w:style w:type="paragraph" w:styleId="TableofFigures">
    <w:name w:val="table of figures"/>
    <w:basedOn w:val="Normal"/>
    <w:next w:val="Normal"/>
    <w:semiHidden/>
    <w:rsid w:val="005B38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8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386B"/>
    <w:rPr>
      <w:rFonts w:ascii="Wingdings" w:hAnsi="Wingdings"/>
    </w:rPr>
  </w:style>
  <w:style w:type="paragraph" w:customStyle="1" w:styleId="TableHeading">
    <w:name w:val="Table Heading"/>
    <w:basedOn w:val="HeadingBase"/>
    <w:rsid w:val="005B38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86B"/>
    <w:rPr>
      <w:color w:val="0033CC"/>
      <w:u w:val="none"/>
    </w:rPr>
  </w:style>
  <w:style w:type="paragraph" w:customStyle="1" w:styleId="BodyTextRight">
    <w:name w:val="Body Text Right"/>
    <w:basedOn w:val="BodyText"/>
    <w:rsid w:val="005B38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8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8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8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8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8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86B"/>
    <w:rPr>
      <w:sz w:val="32"/>
    </w:rPr>
  </w:style>
  <w:style w:type="paragraph" w:customStyle="1" w:styleId="HeadingProcedure">
    <w:name w:val="Heading Procedure"/>
    <w:basedOn w:val="HeadingBase"/>
    <w:next w:val="Normal"/>
    <w:rsid w:val="005B38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86B"/>
    <w:pPr>
      <w:spacing w:before="60" w:after="60"/>
    </w:pPr>
  </w:style>
  <w:style w:type="paragraph" w:styleId="ListContinue">
    <w:name w:val="List Continue"/>
    <w:basedOn w:val="List"/>
    <w:rsid w:val="005B386B"/>
    <w:pPr>
      <w:ind w:firstLine="0"/>
    </w:pPr>
  </w:style>
  <w:style w:type="paragraph" w:customStyle="1" w:styleId="ListNote">
    <w:name w:val="List Note"/>
    <w:basedOn w:val="List"/>
    <w:rsid w:val="005B38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8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8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86B"/>
    <w:rPr>
      <w:rFonts w:ascii="Courier New" w:hAnsi="Courier New"/>
    </w:rPr>
  </w:style>
  <w:style w:type="paragraph" w:customStyle="1" w:styleId="NoteBullet">
    <w:name w:val="Note Bullet"/>
    <w:basedOn w:val="Note"/>
    <w:rsid w:val="005B38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8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8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8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8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38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8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86B"/>
    <w:rPr>
      <w:b/>
      <w:smallCaps/>
    </w:rPr>
  </w:style>
  <w:style w:type="paragraph" w:customStyle="1" w:styleId="TableListNumber">
    <w:name w:val="Table List Number"/>
    <w:basedOn w:val="ListNumber"/>
    <w:rsid w:val="005B38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8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86B"/>
    <w:pPr>
      <w:numPr>
        <w:numId w:val="8"/>
      </w:numPr>
    </w:pPr>
  </w:style>
  <w:style w:type="paragraph" w:customStyle="1" w:styleId="ListAlpha2">
    <w:name w:val="List Alpha 2"/>
    <w:basedOn w:val="List2"/>
    <w:rsid w:val="005B386B"/>
    <w:pPr>
      <w:numPr>
        <w:numId w:val="7"/>
      </w:numPr>
    </w:pPr>
  </w:style>
  <w:style w:type="paragraph" w:styleId="List2">
    <w:name w:val="List 2"/>
    <w:basedOn w:val="BodyText"/>
    <w:rsid w:val="005B38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8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8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8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8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8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386B"/>
    <w:pPr>
      <w:numPr>
        <w:numId w:val="3"/>
      </w:numPr>
    </w:pPr>
  </w:style>
  <w:style w:type="paragraph" w:styleId="ListContinue2">
    <w:name w:val="List Continue 2"/>
    <w:basedOn w:val="List2"/>
    <w:rsid w:val="005B386B"/>
    <w:pPr>
      <w:ind w:firstLine="0"/>
    </w:pPr>
  </w:style>
  <w:style w:type="paragraph" w:styleId="ListContinue3">
    <w:name w:val="List Continue 3"/>
    <w:basedOn w:val="List3"/>
    <w:rsid w:val="005B386B"/>
    <w:pPr>
      <w:ind w:left="1021" w:firstLine="0"/>
    </w:pPr>
  </w:style>
  <w:style w:type="paragraph" w:styleId="ListContinue4">
    <w:name w:val="List Continue 4"/>
    <w:basedOn w:val="List4"/>
    <w:rsid w:val="005B386B"/>
    <w:pPr>
      <w:ind w:firstLine="0"/>
    </w:pPr>
  </w:style>
  <w:style w:type="paragraph" w:styleId="ListContinue5">
    <w:name w:val="List Continue 5"/>
    <w:basedOn w:val="List5"/>
    <w:rsid w:val="005B386B"/>
    <w:pPr>
      <w:ind w:firstLine="0"/>
    </w:pPr>
  </w:style>
  <w:style w:type="paragraph" w:styleId="ListNumber3">
    <w:name w:val="List Number 3"/>
    <w:basedOn w:val="List3"/>
    <w:rsid w:val="005B386B"/>
    <w:pPr>
      <w:numPr>
        <w:numId w:val="4"/>
      </w:numPr>
    </w:pPr>
  </w:style>
  <w:style w:type="paragraph" w:styleId="ListNumber4">
    <w:name w:val="List Number 4"/>
    <w:basedOn w:val="List4"/>
    <w:rsid w:val="005B386B"/>
    <w:pPr>
      <w:numPr>
        <w:numId w:val="5"/>
      </w:numPr>
    </w:pPr>
  </w:style>
  <w:style w:type="paragraph" w:styleId="ListNumber5">
    <w:name w:val="List Number 5"/>
    <w:basedOn w:val="List5"/>
    <w:rsid w:val="005B386B"/>
    <w:pPr>
      <w:numPr>
        <w:numId w:val="6"/>
      </w:numPr>
    </w:pPr>
  </w:style>
  <w:style w:type="paragraph" w:styleId="BlockText">
    <w:name w:val="Block Text"/>
    <w:basedOn w:val="Normal"/>
    <w:rsid w:val="005B38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8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86B"/>
    <w:rPr>
      <w:sz w:val="16"/>
      <w:vertAlign w:val="superscript"/>
    </w:rPr>
  </w:style>
  <w:style w:type="character" w:customStyle="1" w:styleId="Symbols">
    <w:name w:val="Symbols"/>
    <w:basedOn w:val="DefaultParagraphFont"/>
    <w:rsid w:val="005B386B"/>
    <w:rPr>
      <w:rFonts w:ascii="Symbol" w:hAnsi="Symbol"/>
    </w:rPr>
  </w:style>
  <w:style w:type="character" w:customStyle="1" w:styleId="MenuOptions">
    <w:name w:val="Menu Options"/>
    <w:basedOn w:val="DefaultParagraphFont"/>
    <w:rsid w:val="005B38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86B"/>
    <w:rPr>
      <w:b/>
    </w:rPr>
  </w:style>
  <w:style w:type="character" w:customStyle="1" w:styleId="Underlined">
    <w:name w:val="Underlined"/>
    <w:basedOn w:val="DefaultParagraphFont"/>
    <w:rsid w:val="005B386B"/>
    <w:rPr>
      <w:u w:val="single"/>
    </w:rPr>
  </w:style>
  <w:style w:type="paragraph" w:customStyle="1" w:styleId="TableBodyTextRight">
    <w:name w:val="Table Body Text Right"/>
    <w:basedOn w:val="TableBodyText"/>
    <w:rsid w:val="005B38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86B"/>
    <w:rPr>
      <w:sz w:val="18"/>
    </w:rPr>
  </w:style>
  <w:style w:type="paragraph" w:customStyle="1" w:styleId="BodySmallRight">
    <w:name w:val="Body Small Right"/>
    <w:basedOn w:val="BodyTextRight"/>
    <w:rsid w:val="005B386B"/>
    <w:rPr>
      <w:sz w:val="18"/>
      <w:szCs w:val="18"/>
    </w:rPr>
  </w:style>
  <w:style w:type="paragraph" w:customStyle="1" w:styleId="MarginEdition">
    <w:name w:val="Margin Edition"/>
    <w:basedOn w:val="MarginNote"/>
    <w:rsid w:val="005B38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86B"/>
    <w:rPr>
      <w:sz w:val="2"/>
      <w:szCs w:val="2"/>
    </w:rPr>
  </w:style>
  <w:style w:type="character" w:customStyle="1" w:styleId="Small">
    <w:name w:val="Small"/>
    <w:basedOn w:val="DefaultParagraphFont"/>
    <w:rsid w:val="005B386B"/>
    <w:rPr>
      <w:sz w:val="16"/>
    </w:rPr>
  </w:style>
  <w:style w:type="paragraph" w:customStyle="1" w:styleId="WideTable">
    <w:name w:val="Wide Table"/>
    <w:basedOn w:val="Normal"/>
    <w:rsid w:val="005B38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86B"/>
  </w:style>
  <w:style w:type="paragraph" w:styleId="Quote">
    <w:name w:val="Quote"/>
    <w:basedOn w:val="Heading1"/>
    <w:link w:val="QuoteChar"/>
    <w:qFormat/>
    <w:rsid w:val="005B38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8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86B"/>
    <w:pPr>
      <w:pageBreakBefore/>
    </w:pPr>
  </w:style>
  <w:style w:type="paragraph" w:customStyle="1" w:styleId="Border">
    <w:name w:val="Border"/>
    <w:basedOn w:val="Normal"/>
    <w:qFormat/>
    <w:rsid w:val="005B38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8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8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8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8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8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8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8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8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86B"/>
    <w:rPr>
      <w:u w:val="single"/>
    </w:rPr>
  </w:style>
  <w:style w:type="character" w:customStyle="1" w:styleId="BoldandItalics">
    <w:name w:val="Bold and Italics"/>
    <w:qFormat/>
    <w:rsid w:val="005B386B"/>
    <w:rPr>
      <w:b/>
      <w:i/>
      <w:u w:val="none"/>
    </w:rPr>
  </w:style>
  <w:style w:type="paragraph" w:styleId="BalloonText">
    <w:name w:val="Balloon Text"/>
    <w:basedOn w:val="Normal"/>
    <w:link w:val="BalloonTextChar"/>
    <w:rsid w:val="005B38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8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8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8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8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8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86B"/>
    <w:pPr>
      <w:spacing w:before="0" w:after="0"/>
    </w:pPr>
  </w:style>
  <w:style w:type="paragraph" w:customStyle="1" w:styleId="BodyTextBold">
    <w:name w:val="Body Text Bold"/>
    <w:basedOn w:val="BodyText"/>
    <w:qFormat/>
    <w:rsid w:val="005B386B"/>
    <w:rPr>
      <w:b/>
    </w:rPr>
  </w:style>
  <w:style w:type="character" w:styleId="Hyperlink">
    <w:name w:val="Hyperlink"/>
    <w:basedOn w:val="DefaultParagraphFont"/>
    <w:uiPriority w:val="99"/>
    <w:unhideWhenUsed/>
    <w:rsid w:val="006C33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4063</Characters>
  <Application>Microsoft Office Word</Application>
  <DocSecurity>0</DocSecurity>
  <Lines>90</Lines>
  <Paragraphs>64</Paragraphs>
  <ScaleCrop>false</ScaleCrop>
  <Company>Author-it Software Corporation Ltd.</Company>
  <LinksUpToDate>false</LinksUpToDate>
  <CharactersWithSpaces>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TLIL3035 Allocate motive power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