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3C3" w:rsidP="000E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TLIL2060 Complete induction to the transport industry</w:t>
      </w:r>
      <w:r>
        <w:fldChar w:fldCharType="end"/>
      </w:r>
    </w:p>
    <w:p w:rsidR="000E53C3" w:rsidP="000E53C3">
      <w:pPr>
        <w:pStyle w:val="Version"/>
        <w:sectPr w:rsidSect="00D93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3994" w:rsidP="00D93994">
      <w:pPr>
        <w:pStyle w:val="SuperHeading"/>
      </w:pPr>
      <w:r w:rsidRPr="00D93994">
        <w:t>TLIL2060 Complete induction to the transport industry</w:t>
      </w:r>
    </w:p>
    <w:p w:rsidR="00000000" w:rsidRPr="00D93994" w:rsidP="00D93994">
      <w:pPr>
        <w:pStyle w:val="Heading1"/>
      </w:pPr>
      <w:bookmarkStart w:id="1" w:name="O_1195736"/>
      <w:bookmarkEnd w:id="1"/>
      <w:r w:rsidRPr="00D939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Release 2.</w:t>
            </w:r>
            <w:r w:rsidRPr="00D93994">
              <w:t xml:space="preserve"> This is the second release of this unit of competency in the TLI Transport and Logistics Training Package.</w:t>
            </w:r>
          </w:p>
          <w:p w:rsidR="00000000" w:rsidP="00D93994">
            <w:pPr>
              <w:pStyle w:val="ListBullet"/>
              <w:rPr>
                <w:lang w:val="en-NZ"/>
              </w:rPr>
            </w:pPr>
            <w:r w:rsidRPr="00D93994">
              <w:t>Application reworded and Assessment Conditions updated.</w:t>
            </w:r>
          </w:p>
        </w:tc>
      </w:tr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Release 1.</w:t>
            </w:r>
            <w:r w:rsidRPr="00D93994">
              <w:t xml:space="preserve"> This is the first release of t</w:t>
            </w:r>
            <w:r w:rsidRPr="00D93994">
              <w:t>his unit of competency in the TLI Transport and Logistics Training Package.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2" w:name="O_1195735"/>
      <w:bookmarkEnd w:id="2"/>
      <w:r w:rsidRPr="00D939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This unit involves the skills and knowledge required to complete workplace induction to the transport industry.</w:t>
            </w:r>
          </w:p>
          <w:p w:rsidR="00000000" w:rsidRPr="00D93994" w:rsidP="00D93994">
            <w:pPr>
              <w:pStyle w:val="BodyText"/>
            </w:pPr>
            <w:r w:rsidRPr="00D93994">
              <w:t xml:space="preserve">The unit enables a driver to enter </w:t>
            </w:r>
            <w:r w:rsidRPr="00D93994">
              <w:t>and participate in typical workplace activities. It includes identifying major areas of the industry in terms of functions, organisational structures and occupations; applying legislation, regulations and codes of practice; and identifying key industrial r</w:t>
            </w:r>
            <w:r w:rsidRPr="00D93994">
              <w:t>elations elements and procedures when commencing work in the transport and logistics industry in accordance with regulatory requirements, and operational policies and procedures.</w:t>
            </w:r>
          </w:p>
          <w:p w:rsidR="00000000" w:rsidRPr="00D93994" w:rsidP="00D93994">
            <w:pPr>
              <w:pStyle w:val="BodyText"/>
            </w:pPr>
            <w:r w:rsidRPr="00D93994">
              <w:t>This unit applies to all employees wishing to enter the transport and logisti</w:t>
            </w:r>
            <w:r w:rsidRPr="00D93994">
              <w:t>cs industry; however, it is predominantly aimed at taxi to multi-combination drivers. It can also be used within the warehousing and logistics sectors of the industry.</w:t>
            </w:r>
          </w:p>
          <w:p w:rsidR="00000000" w:rsidRPr="00D93994" w:rsidP="00D93994">
            <w:pPr>
              <w:pStyle w:val="BodyText"/>
            </w:pPr>
            <w:r w:rsidRPr="00D93994">
              <w:t>Work is performed with limited or no supervision, and with full accountability and respo</w:t>
            </w:r>
            <w:r w:rsidRPr="00D93994">
              <w:t>nsibility for self and others in achieving the prescribed outcomes.</w:t>
            </w:r>
          </w:p>
          <w:p w:rsidR="00000000" w:rsidRPr="00D93994" w:rsidP="00D93994">
            <w:pPr>
              <w:pStyle w:val="BodyText"/>
            </w:pPr>
            <w:r w:rsidRPr="00D93994">
              <w:t>This unit meets part of the certification requirements for obtaining taxi driver accreditation. As requirements may vary between states and territories, people seeking taxi accreditation s</w:t>
            </w:r>
            <w:r w:rsidRPr="00D93994">
              <w:t>hould contact their state/territory taxi regulator.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3" w:name="O_1195734"/>
      <w:bookmarkEnd w:id="3"/>
      <w:r w:rsidRPr="00D939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Not applicable.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4" w:name="O_1195733"/>
      <w:bookmarkEnd w:id="4"/>
      <w:r w:rsidRPr="00D939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L – Resource Management.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5" w:name="O_1195732"/>
      <w:bookmarkEnd w:id="5"/>
      <w:r w:rsidRPr="00D939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Not applicable.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6" w:name="O_1195731"/>
      <w:bookmarkEnd w:id="6"/>
      <w:r w:rsidRPr="00D939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PERFORMANCE CRITERIA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Performance criteria describe the performance needed to demonstrate achievement of the element.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 xml:space="preserve">Identify major organisational areas of the transport industry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Organisational structure of the industry and the structural relationship between occupations, functions and classification grouping is outlined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 xml:space="preserve">Equipment and technology used in the workplace, and their features and functions are identified 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Apply legislation, regulations and codes of practice governing the transport industry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Individual driver responsibilities under current legislation are i</w:t>
            </w:r>
            <w:r w:rsidRPr="00D93994">
              <w:t>dentified and acted on in the conduct of duties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Individual responsibilities under workplace policies and procedures are identified and acted on in the conduct of duties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Individual responsibilities under licence conditions applicable to the operation of vehicles, and conditions attached to vehicle drivers, are identified and acted on in the conduct of duties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rPr>
                <w:rStyle w:val="SpecialBold"/>
              </w:rPr>
              <w:t>Identify key elements of industrial relations environment in w</w:t>
            </w:r>
            <w:r w:rsidRPr="00D93994">
              <w:rPr>
                <w:rStyle w:val="SpecialBold"/>
              </w:rPr>
              <w:t>hich the driver works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t>Key elements of industrial relations environment in which the driver works are identified</w:t>
            </w:r>
          </w:p>
        </w:tc>
      </w:tr>
      <w:tr w:rsidTr="00D939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94">
            <w:pPr>
              <w:pStyle w:val="BodyText"/>
              <w:rPr>
                <w:lang w:val="en-NZ"/>
              </w:rPr>
            </w:pPr>
            <w:r w:rsidRPr="00D93994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Rights and responsibilities of drivers under contracts are identified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7" w:name="O_1195730"/>
      <w:bookmarkEnd w:id="7"/>
      <w:r w:rsidRPr="00D939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Foundation skills essential to performance are explicit in the performance criteria of this unit of competency.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8" w:name="O_1195729"/>
      <w:bookmarkEnd w:id="8"/>
      <w:r w:rsidRPr="00D939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Range is restricted to essential operating conditions and any other variables essential to the work env</w:t>
            </w:r>
            <w:r w:rsidRPr="00D93994">
              <w:t>ironment.</w:t>
            </w:r>
          </w:p>
          <w:p w:rsidR="00000000" w:rsidRPr="00D93994" w:rsidP="00D93994">
            <w:pPr>
              <w:pStyle w:val="BodyText"/>
            </w:pPr>
            <w:r w:rsidRPr="00D93994">
              <w:t>Non-essential conditions can be found in the TLI Transport and Logistics Training Package Companion Volume Implementation Guide.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9" w:name="O_1195728"/>
      <w:bookmarkEnd w:id="9"/>
      <w:r w:rsidRPr="00D939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94" w:rsidP="00D93994">
            <w:pPr>
              <w:pStyle w:val="BodyText"/>
            </w:pPr>
            <w:r w:rsidRPr="00D93994">
              <w:t>This unit replaces and is equivalent to TLIL2060A Complete induction to</w:t>
            </w:r>
            <w:r w:rsidRPr="00D93994">
              <w:t xml:space="preserve"> the transport industry.</w:t>
            </w:r>
          </w:p>
        </w:tc>
      </w:tr>
    </w:tbl>
    <w:p w:rsidR="00000000" w:rsidRPr="00D93994" w:rsidP="00D93994">
      <w:pPr>
        <w:pStyle w:val="NoPaddingFontSize1"/>
      </w:pPr>
    </w:p>
    <w:p w:rsidR="00000000" w:rsidRPr="00D93994" w:rsidP="00D93994">
      <w:pPr>
        <w:pStyle w:val="AllowPageBreak"/>
      </w:pPr>
    </w:p>
    <w:p w:rsidR="00000000" w:rsidRPr="00D93994" w:rsidP="00D93994">
      <w:pPr>
        <w:pStyle w:val="Heading1"/>
      </w:pPr>
      <w:bookmarkStart w:id="10" w:name="O_1195737"/>
      <w:bookmarkEnd w:id="10"/>
      <w:r w:rsidRPr="00D93994">
        <w:t>Links</w:t>
      </w:r>
    </w:p>
    <w:p w:rsidR="00000000" w:rsidRPr="00D93994" w:rsidP="000E53C3">
      <w:pPr>
        <w:pStyle w:val="BodyText"/>
      </w:pPr>
      <w:r w:rsidRPr="00D93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15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93994" w:rsidP="00D93994"/>
    <w:sectPr w:rsidSect="00D93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94" w:rsidRPr="000E53C3" w:rsidP="000E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C3" w:rsidP="00D9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3C3" w:rsidP="00D9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53C3" w:rsidP="00D93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994" w:rsidRPr="000E53C3" w:rsidP="000E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C3" w:rsidRPr="002D2AF8" w:rsidP="00D9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TLIL2060 Complete induction to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E53C3" w:rsidP="00D93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42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307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994"/>
  </w:style>
  <w:style w:type="character" w:customStyle="1" w:styleId="Heading1Char">
    <w:name w:val="Heading 1 Char"/>
    <w:basedOn w:val="DefaultParagraphFont"/>
    <w:link w:val="Heading1"/>
    <w:rsid w:val="00D93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9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994"/>
    <w:rPr>
      <w:b/>
      <w:spacing w:val="0"/>
    </w:rPr>
  </w:style>
  <w:style w:type="paragraph" w:customStyle="1" w:styleId="SuperHeading">
    <w:name w:val="SuperHeading"/>
    <w:basedOn w:val="Normal"/>
    <w:rsid w:val="00D93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994"/>
    <w:rPr>
      <w:i/>
    </w:rPr>
  </w:style>
  <w:style w:type="paragraph" w:styleId="Caption">
    <w:name w:val="caption"/>
    <w:basedOn w:val="BodyText"/>
    <w:next w:val="Normal"/>
    <w:qFormat/>
    <w:rsid w:val="00D93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994"/>
  </w:style>
  <w:style w:type="paragraph" w:styleId="TableofFigures">
    <w:name w:val="table of figures"/>
    <w:basedOn w:val="Normal"/>
    <w:next w:val="Normal"/>
    <w:semiHidden/>
    <w:rsid w:val="00D93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994"/>
    <w:rPr>
      <w:rFonts w:ascii="Wingdings" w:hAnsi="Wingdings"/>
    </w:rPr>
  </w:style>
  <w:style w:type="paragraph" w:customStyle="1" w:styleId="TableHeading">
    <w:name w:val="Table Heading"/>
    <w:basedOn w:val="HeadingBase"/>
    <w:rsid w:val="00D93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994"/>
    <w:rPr>
      <w:color w:val="0033CC"/>
      <w:u w:val="none"/>
    </w:rPr>
  </w:style>
  <w:style w:type="paragraph" w:customStyle="1" w:styleId="BodyTextRight">
    <w:name w:val="Body Text Right"/>
    <w:basedOn w:val="BodyText"/>
    <w:rsid w:val="00D93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994"/>
    <w:rPr>
      <w:sz w:val="32"/>
    </w:rPr>
  </w:style>
  <w:style w:type="paragraph" w:customStyle="1" w:styleId="HeadingProcedure">
    <w:name w:val="Heading Procedure"/>
    <w:basedOn w:val="HeadingBase"/>
    <w:next w:val="Normal"/>
    <w:rsid w:val="00D93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994"/>
    <w:pPr>
      <w:spacing w:before="60" w:after="60"/>
    </w:pPr>
  </w:style>
  <w:style w:type="paragraph" w:styleId="ListContinue">
    <w:name w:val="List Continue"/>
    <w:basedOn w:val="List"/>
    <w:rsid w:val="00D93994"/>
    <w:pPr>
      <w:ind w:firstLine="0"/>
    </w:pPr>
  </w:style>
  <w:style w:type="paragraph" w:customStyle="1" w:styleId="ListNote">
    <w:name w:val="List Note"/>
    <w:basedOn w:val="List"/>
    <w:rsid w:val="00D93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994"/>
    <w:rPr>
      <w:rFonts w:ascii="Courier New" w:hAnsi="Courier New"/>
    </w:rPr>
  </w:style>
  <w:style w:type="paragraph" w:customStyle="1" w:styleId="NoteBullet">
    <w:name w:val="Note Bullet"/>
    <w:basedOn w:val="Note"/>
    <w:rsid w:val="00D93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994"/>
    <w:rPr>
      <w:b/>
      <w:smallCaps/>
    </w:rPr>
  </w:style>
  <w:style w:type="paragraph" w:customStyle="1" w:styleId="TableListNumber">
    <w:name w:val="Table List Number"/>
    <w:basedOn w:val="ListNumber"/>
    <w:rsid w:val="00D93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994"/>
    <w:pPr>
      <w:numPr>
        <w:numId w:val="8"/>
      </w:numPr>
    </w:pPr>
  </w:style>
  <w:style w:type="paragraph" w:customStyle="1" w:styleId="ListAlpha2">
    <w:name w:val="List Alpha 2"/>
    <w:basedOn w:val="List2"/>
    <w:rsid w:val="00D93994"/>
    <w:pPr>
      <w:numPr>
        <w:numId w:val="7"/>
      </w:numPr>
    </w:pPr>
  </w:style>
  <w:style w:type="paragraph" w:styleId="List2">
    <w:name w:val="List 2"/>
    <w:basedOn w:val="BodyText"/>
    <w:rsid w:val="00D93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994"/>
    <w:pPr>
      <w:numPr>
        <w:numId w:val="3"/>
      </w:numPr>
    </w:pPr>
  </w:style>
  <w:style w:type="paragraph" w:styleId="ListContinue2">
    <w:name w:val="List Continue 2"/>
    <w:basedOn w:val="List2"/>
    <w:rsid w:val="00D93994"/>
    <w:pPr>
      <w:ind w:firstLine="0"/>
    </w:pPr>
  </w:style>
  <w:style w:type="paragraph" w:styleId="ListContinue3">
    <w:name w:val="List Continue 3"/>
    <w:basedOn w:val="List3"/>
    <w:rsid w:val="00D93994"/>
    <w:pPr>
      <w:ind w:left="1021" w:firstLine="0"/>
    </w:pPr>
  </w:style>
  <w:style w:type="paragraph" w:styleId="ListContinue4">
    <w:name w:val="List Continue 4"/>
    <w:basedOn w:val="List4"/>
    <w:rsid w:val="00D93994"/>
    <w:pPr>
      <w:ind w:firstLine="0"/>
    </w:pPr>
  </w:style>
  <w:style w:type="paragraph" w:styleId="ListContinue5">
    <w:name w:val="List Continue 5"/>
    <w:basedOn w:val="List5"/>
    <w:rsid w:val="00D93994"/>
    <w:pPr>
      <w:ind w:firstLine="0"/>
    </w:pPr>
  </w:style>
  <w:style w:type="paragraph" w:styleId="ListNumber3">
    <w:name w:val="List Number 3"/>
    <w:basedOn w:val="List3"/>
    <w:rsid w:val="00D93994"/>
    <w:pPr>
      <w:numPr>
        <w:numId w:val="4"/>
      </w:numPr>
    </w:pPr>
  </w:style>
  <w:style w:type="paragraph" w:styleId="ListNumber4">
    <w:name w:val="List Number 4"/>
    <w:basedOn w:val="List4"/>
    <w:rsid w:val="00D93994"/>
    <w:pPr>
      <w:numPr>
        <w:numId w:val="5"/>
      </w:numPr>
    </w:pPr>
  </w:style>
  <w:style w:type="paragraph" w:styleId="ListNumber5">
    <w:name w:val="List Number 5"/>
    <w:basedOn w:val="List5"/>
    <w:rsid w:val="00D93994"/>
    <w:pPr>
      <w:numPr>
        <w:numId w:val="6"/>
      </w:numPr>
    </w:pPr>
  </w:style>
  <w:style w:type="paragraph" w:styleId="BlockText">
    <w:name w:val="Block Text"/>
    <w:basedOn w:val="Normal"/>
    <w:rsid w:val="00D93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994"/>
    <w:rPr>
      <w:sz w:val="16"/>
      <w:vertAlign w:val="superscript"/>
    </w:rPr>
  </w:style>
  <w:style w:type="character" w:customStyle="1" w:styleId="Symbols">
    <w:name w:val="Symbols"/>
    <w:basedOn w:val="DefaultParagraphFont"/>
    <w:rsid w:val="00D93994"/>
    <w:rPr>
      <w:rFonts w:ascii="Symbol" w:hAnsi="Symbol"/>
    </w:rPr>
  </w:style>
  <w:style w:type="character" w:customStyle="1" w:styleId="MenuOptions">
    <w:name w:val="Menu Options"/>
    <w:basedOn w:val="DefaultParagraphFont"/>
    <w:rsid w:val="00D93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994"/>
    <w:rPr>
      <w:b/>
    </w:rPr>
  </w:style>
  <w:style w:type="character" w:customStyle="1" w:styleId="Underlined">
    <w:name w:val="Underlined"/>
    <w:basedOn w:val="DefaultParagraphFont"/>
    <w:rsid w:val="00D93994"/>
    <w:rPr>
      <w:u w:val="single"/>
    </w:rPr>
  </w:style>
  <w:style w:type="paragraph" w:customStyle="1" w:styleId="TableBodyTextRight">
    <w:name w:val="Table Body Text Right"/>
    <w:basedOn w:val="TableBodyText"/>
    <w:rsid w:val="00D93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994"/>
    <w:rPr>
      <w:sz w:val="18"/>
    </w:rPr>
  </w:style>
  <w:style w:type="paragraph" w:customStyle="1" w:styleId="BodySmallRight">
    <w:name w:val="Body Small Right"/>
    <w:basedOn w:val="BodyTextRight"/>
    <w:rsid w:val="00D93994"/>
    <w:rPr>
      <w:sz w:val="18"/>
      <w:szCs w:val="18"/>
    </w:rPr>
  </w:style>
  <w:style w:type="paragraph" w:customStyle="1" w:styleId="MarginEdition">
    <w:name w:val="Margin Edition"/>
    <w:basedOn w:val="MarginNote"/>
    <w:rsid w:val="00D93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994"/>
    <w:rPr>
      <w:sz w:val="2"/>
      <w:szCs w:val="2"/>
    </w:rPr>
  </w:style>
  <w:style w:type="character" w:customStyle="1" w:styleId="Small">
    <w:name w:val="Small"/>
    <w:basedOn w:val="DefaultParagraphFont"/>
    <w:rsid w:val="00D93994"/>
    <w:rPr>
      <w:sz w:val="16"/>
    </w:rPr>
  </w:style>
  <w:style w:type="paragraph" w:customStyle="1" w:styleId="WideTable">
    <w:name w:val="Wide Table"/>
    <w:basedOn w:val="Normal"/>
    <w:rsid w:val="00D93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994"/>
  </w:style>
  <w:style w:type="paragraph" w:styleId="Quote">
    <w:name w:val="Quote"/>
    <w:basedOn w:val="Heading1"/>
    <w:link w:val="QuoteChar"/>
    <w:qFormat/>
    <w:rsid w:val="00D93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994"/>
    <w:pPr>
      <w:pageBreakBefore/>
    </w:pPr>
  </w:style>
  <w:style w:type="paragraph" w:customStyle="1" w:styleId="Border">
    <w:name w:val="Border"/>
    <w:basedOn w:val="Normal"/>
    <w:qFormat/>
    <w:rsid w:val="00D93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994"/>
    <w:rPr>
      <w:u w:val="single"/>
    </w:rPr>
  </w:style>
  <w:style w:type="character" w:customStyle="1" w:styleId="BoldandItalics">
    <w:name w:val="Bold and Italics"/>
    <w:qFormat/>
    <w:rsid w:val="00D93994"/>
    <w:rPr>
      <w:b/>
      <w:i/>
      <w:u w:val="none"/>
    </w:rPr>
  </w:style>
  <w:style w:type="paragraph" w:styleId="BalloonText">
    <w:name w:val="Balloon Text"/>
    <w:basedOn w:val="Normal"/>
    <w:link w:val="BalloonTextChar"/>
    <w:rsid w:val="00D93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994"/>
    <w:pPr>
      <w:spacing w:before="0" w:after="0"/>
    </w:pPr>
  </w:style>
  <w:style w:type="paragraph" w:customStyle="1" w:styleId="BodyTextBold">
    <w:name w:val="Body Text Bold"/>
    <w:basedOn w:val="BodyText"/>
    <w:qFormat/>
    <w:rsid w:val="00D93994"/>
    <w:rPr>
      <w:b/>
    </w:rPr>
  </w:style>
  <w:style w:type="character" w:styleId="Hyperlink">
    <w:name w:val="Hyperlink"/>
    <w:basedOn w:val="DefaultParagraphFont"/>
    <w:uiPriority w:val="99"/>
    <w:unhideWhenUsed/>
    <w:rsid w:val="000E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3408</Characters>
  <Application>Microsoft Office Word</Application>
  <DocSecurity>0</DocSecurity>
  <Lines>131</Lines>
  <Paragraphs>64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TLIL2060 Complete induction to the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