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ADA" w:rsidP="00CB6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TLIL2031 Monitor and process attendance records</w:t>
      </w:r>
      <w:r>
        <w:fldChar w:fldCharType="end"/>
      </w:r>
    </w:p>
    <w:p w:rsidR="00CB6ADA" w:rsidP="00CB6ADA">
      <w:pPr>
        <w:pStyle w:val="Version"/>
        <w:sectPr w:rsidSect="00020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AE6" w:rsidP="00020AE6">
      <w:pPr>
        <w:pStyle w:val="SuperHeading"/>
      </w:pPr>
      <w:r w:rsidRPr="00020AE6">
        <w:t>TLIL2031 Monitor and process attendance records</w:t>
      </w:r>
    </w:p>
    <w:p w:rsidR="00000000" w:rsidRPr="00020AE6" w:rsidP="00020AE6">
      <w:pPr>
        <w:pStyle w:val="Heading1"/>
      </w:pPr>
      <w:bookmarkStart w:id="1" w:name="O_740940"/>
      <w:bookmarkEnd w:id="1"/>
      <w:r w:rsidRPr="00020AE6">
        <w:t>Modification History</w:t>
      </w:r>
    </w:p>
    <w:p w:rsidR="00CB6ADA" w:rsidP="00CB6ADA">
      <w:pPr>
        <w:pStyle w:val="BodyText"/>
      </w:pPr>
      <w:r w:rsidRPr="00020AE6">
        <w:t>Release 1. This is the first release of this unit of competency in the TLI Transport and Logistics Training Package.</w:t>
      </w:r>
    </w:p>
    <w:p w:rsidR="00000000" w:rsidRPr="00020AE6" w:rsidP="00020AE6">
      <w:pPr>
        <w:pStyle w:val="Heading1"/>
      </w:pPr>
      <w:bookmarkStart w:id="2" w:name="O_740941"/>
      <w:bookmarkEnd w:id="2"/>
      <w:r w:rsidRPr="00020AE6">
        <w:t>Application</w:t>
      </w:r>
    </w:p>
    <w:p w:rsidR="00000000" w:rsidRPr="00020AE6" w:rsidP="00CB6ADA">
      <w:pPr>
        <w:pStyle w:val="BodyText"/>
      </w:pPr>
      <w:r w:rsidRPr="00020AE6">
        <w:t>This unit involves the skills and knowledge required to monitor and process atte</w:t>
      </w:r>
      <w:r w:rsidRPr="00020AE6">
        <w:t>ndance records in accordance with regulatory and workplace requirements as part of work activities undertaken in the transport and logistics industry.</w:t>
      </w:r>
    </w:p>
    <w:p w:rsidR="00000000" w:rsidRPr="00020AE6" w:rsidP="00CB6ADA">
      <w:pPr>
        <w:pStyle w:val="BodyText"/>
      </w:pPr>
      <w:r w:rsidRPr="00020AE6">
        <w:t xml:space="preserve">It includes monitoring attendance records as well as checking and processing attendance information. </w:t>
      </w:r>
    </w:p>
    <w:p w:rsidR="00000000" w:rsidRPr="00020AE6" w:rsidP="00CB6ADA">
      <w:pPr>
        <w:pStyle w:val="BodyText"/>
      </w:pPr>
      <w:r w:rsidRPr="00020AE6">
        <w:t>Wor</w:t>
      </w:r>
      <w:r w:rsidRPr="00020AE6">
        <w:t>k is performed individually but the ability to work within a team environment may also be required.</w:t>
      </w:r>
    </w:p>
    <w:p w:rsidR="00CB6ADA" w:rsidP="00CB6ADA">
      <w:pPr>
        <w:pStyle w:val="BodyText"/>
      </w:pPr>
      <w:r w:rsidRPr="00020AE6">
        <w:t>No licensing, legislative or certification requirements apply to this unit at the time of publication.</w:t>
      </w:r>
    </w:p>
    <w:p w:rsidR="00000000" w:rsidRPr="00020AE6" w:rsidP="00020AE6">
      <w:pPr>
        <w:pStyle w:val="Heading1"/>
      </w:pPr>
      <w:bookmarkStart w:id="3" w:name="O_740942"/>
      <w:bookmarkEnd w:id="3"/>
      <w:r w:rsidRPr="00020AE6">
        <w:t>Pre-requisite Unit</w:t>
      </w:r>
    </w:p>
    <w:p w:rsidR="00000000" w:rsidRPr="00020AE6" w:rsidP="00CB6ADA">
      <w:pPr>
        <w:pStyle w:val="BodyText"/>
      </w:pPr>
      <w:r w:rsidRPr="00020AE6">
        <w:t>Not applicable.</w:t>
      </w:r>
    </w:p>
    <w:p w:rsidR="00000000" w:rsidRPr="00020AE6" w:rsidP="00020AE6">
      <w:pPr>
        <w:pStyle w:val="Heading1"/>
      </w:pPr>
      <w:bookmarkStart w:id="4" w:name="O_740943"/>
      <w:bookmarkEnd w:id="4"/>
      <w:r w:rsidRPr="00020AE6">
        <w:t>Competency Field</w:t>
      </w:r>
    </w:p>
    <w:p w:rsidR="00000000" w:rsidRPr="00020AE6" w:rsidP="00CB6ADA">
      <w:pPr>
        <w:pStyle w:val="BodyText"/>
      </w:pPr>
      <w:r w:rsidRPr="00020AE6">
        <w:t>L ‒ Resource Management</w:t>
      </w:r>
    </w:p>
    <w:p w:rsidR="00000000" w:rsidRPr="00020AE6" w:rsidP="00020AE6">
      <w:pPr>
        <w:pStyle w:val="Heading1"/>
      </w:pPr>
      <w:bookmarkStart w:id="5" w:name="O_740944"/>
      <w:bookmarkEnd w:id="5"/>
      <w:r w:rsidRPr="00020AE6">
        <w:t>Unit Sector</w:t>
      </w:r>
    </w:p>
    <w:p w:rsidR="00000000" w:rsidRPr="00020AE6" w:rsidP="00CB6ADA">
      <w:pPr>
        <w:pStyle w:val="BodyText"/>
      </w:pPr>
      <w:r w:rsidRPr="00020AE6">
        <w:t>Not applicable.</w:t>
      </w:r>
    </w:p>
    <w:p w:rsidR="00000000" w:rsidRPr="00020AE6" w:rsidP="00020AE6">
      <w:pPr>
        <w:pStyle w:val="Heading1"/>
      </w:pPr>
      <w:bookmarkStart w:id="6" w:name="O_740945"/>
      <w:bookmarkEnd w:id="6"/>
      <w:r w:rsidRPr="00020A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2"/>
        <w:gridCol w:w="1"/>
        <w:gridCol w:w="528"/>
        <w:gridCol w:w="6657"/>
      </w:tblGrid>
      <w:tr w:rsidTr="00CB6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E6" w:rsidP="00020AE6">
            <w:pPr>
              <w:pStyle w:val="BodyText"/>
            </w:pPr>
            <w:r w:rsidRPr="00020AE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rPr>
                <w:rStyle w:val="SpecialBold"/>
              </w:rPr>
              <w:t>PERFORMANCE CRITERIA</w:t>
            </w:r>
          </w:p>
        </w:tc>
      </w:tr>
      <w:tr w:rsidTr="00CB6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Performance criteria describe the performance needed to demonstrate achievement of the element.</w:t>
            </w:r>
          </w:p>
        </w:tc>
      </w:tr>
      <w:tr w:rsidTr="00CB6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E6" w:rsidP="00020AE6">
            <w:pPr>
              <w:pStyle w:val="BodyText"/>
            </w:pPr>
            <w:r w:rsidRPr="00020AE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rPr>
                <w:rStyle w:val="SpecialBold"/>
              </w:rPr>
              <w:t>Monitor attendance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Hours worked, as recorded for each employee, are accessed, checked and documented on a prescribed time basis</w:t>
            </w:r>
          </w:p>
        </w:tc>
      </w:tr>
      <w:tr w:rsidTr="00CB6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 xml:space="preserve">Employee </w:t>
            </w:r>
            <w:r w:rsidRPr="00020AE6">
              <w:t>record cards or other daily time records showing hours absent are followed up to ensure authorised absences are accurately recorded</w:t>
            </w:r>
          </w:p>
        </w:tc>
      </w:tr>
      <w:tr w:rsidTr="00CB6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Employee daily time records showing additional hours worked are followed up to determine whether additional payments are authorised</w:t>
            </w:r>
          </w:p>
        </w:tc>
      </w:tr>
      <w:tr w:rsidTr="00CB6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Unauthorised absences are notified to appropriate personnel in a timely way to ensure follow-up action is initiated</w:t>
            </w:r>
          </w:p>
        </w:tc>
      </w:tr>
      <w:tr w:rsidTr="00CB6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Employee attendance sheets are received, checked and processed to ensure accurate employee records are maintained</w:t>
            </w:r>
          </w:p>
        </w:tc>
      </w:tr>
      <w:tr w:rsidTr="00CB6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E6" w:rsidP="00020AE6">
            <w:pPr>
              <w:pStyle w:val="BodyText"/>
            </w:pPr>
            <w:r w:rsidRPr="00020AE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rPr>
                <w:rStyle w:val="SpecialBold"/>
              </w:rPr>
              <w:t>Process attendance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Unexplained absences are identified, confirmed and appropriate personnel are notified for follow-up ac</w:t>
            </w:r>
            <w:r w:rsidRPr="00020AE6">
              <w:t>tion</w:t>
            </w:r>
          </w:p>
        </w:tc>
      </w:tr>
      <w:tr w:rsidTr="00CB6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Timesheets, or equivalent, are checked and forwarded to payroll department for costing purposes</w:t>
            </w:r>
          </w:p>
        </w:tc>
      </w:tr>
      <w:tr w:rsidTr="00CB6A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AE6">
            <w:pPr>
              <w:pStyle w:val="BodyText"/>
              <w:rPr>
                <w:lang w:val="en-NZ"/>
              </w:rPr>
            </w:pPr>
            <w:r w:rsidRPr="00020AE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AE6" w:rsidP="00020AE6">
            <w:pPr>
              <w:pStyle w:val="BodyText"/>
            </w:pPr>
            <w:r w:rsidRPr="00020AE6">
              <w:t>Employee record cards or other identification system requirements are checked and redistributed in a timely way</w:t>
            </w:r>
          </w:p>
        </w:tc>
      </w:tr>
    </w:tbl>
    <w:p w:rsidR="00CB6ADA" w:rsidP="00020AE6">
      <w:pPr>
        <w:pStyle w:val="BodyText"/>
      </w:pPr>
    </w:p>
    <w:p w:rsidR="00CB6ADA" w:rsidP="00020AE6">
      <w:pPr>
        <w:pStyle w:val="BodyText"/>
      </w:pPr>
    </w:p>
    <w:p w:rsidR="00000000" w:rsidRPr="00020AE6" w:rsidP="00020AE6">
      <w:pPr>
        <w:pStyle w:val="Heading1"/>
      </w:pPr>
      <w:bookmarkStart w:id="7" w:name="O_740946"/>
      <w:bookmarkEnd w:id="7"/>
      <w:r w:rsidRPr="00020AE6">
        <w:t>Foundation Skills</w:t>
      </w:r>
    </w:p>
    <w:p w:rsidR="00000000" w:rsidRPr="00020AE6" w:rsidP="00CB6ADA">
      <w:pPr>
        <w:pStyle w:val="BodyText"/>
      </w:pPr>
      <w:r w:rsidRPr="00020AE6">
        <w:t>Foundation skills essential to performance are explicit in the performance criteria of this unit of competency.</w:t>
      </w:r>
    </w:p>
    <w:p w:rsidR="00000000" w:rsidRPr="00020AE6" w:rsidP="00020AE6">
      <w:pPr>
        <w:pStyle w:val="Heading1"/>
      </w:pPr>
      <w:bookmarkStart w:id="8" w:name="O_740947"/>
      <w:bookmarkEnd w:id="8"/>
      <w:r w:rsidRPr="00020AE6">
        <w:t>Range of Conditions</w:t>
      </w:r>
    </w:p>
    <w:p w:rsidR="00000000" w:rsidRPr="00020AE6" w:rsidP="00CB6ADA">
      <w:pPr>
        <w:pStyle w:val="BodyText"/>
      </w:pPr>
      <w:r w:rsidRPr="00020AE6">
        <w:t>Range is restricted to essential operating conditions and any other variables essential to the work environment.</w:t>
      </w:r>
    </w:p>
    <w:p w:rsidR="00CB6ADA" w:rsidP="00CB6ADA">
      <w:pPr>
        <w:pStyle w:val="BodyText"/>
      </w:pPr>
      <w:r w:rsidRPr="00020AE6">
        <w:t>Non-essential conditions can be found in the Companion Volume Implementation Guide.</w:t>
      </w:r>
    </w:p>
    <w:p w:rsidR="00000000" w:rsidRPr="00020AE6" w:rsidP="00020AE6">
      <w:pPr>
        <w:pStyle w:val="Heading1"/>
      </w:pPr>
      <w:bookmarkStart w:id="9" w:name="O_740948"/>
      <w:bookmarkEnd w:id="9"/>
      <w:r w:rsidRPr="00020AE6">
        <w:t>Unit Mapping Information</w:t>
      </w:r>
    </w:p>
    <w:p w:rsidR="00CB6ADA" w:rsidP="00CB6ADA">
      <w:pPr>
        <w:pStyle w:val="BodyText"/>
      </w:pPr>
      <w:r w:rsidRPr="00020AE6">
        <w:t>This unit replac</w:t>
      </w:r>
      <w:r w:rsidRPr="00020AE6">
        <w:t>es and is equivalent to TLIL2031A Monitor and process attendance records.</w:t>
      </w:r>
    </w:p>
    <w:p w:rsidR="00000000" w:rsidRPr="00020AE6" w:rsidP="00020AE6">
      <w:pPr>
        <w:pStyle w:val="Heading1"/>
      </w:pPr>
      <w:bookmarkStart w:id="10" w:name="O_740955"/>
      <w:bookmarkEnd w:id="10"/>
      <w:r w:rsidRPr="00020AE6">
        <w:t>Links</w:t>
      </w:r>
    </w:p>
    <w:p w:rsidR="00000000" w:rsidRPr="00020AE6" w:rsidP="00CB6ADA">
      <w:pPr>
        <w:pStyle w:val="BodyText"/>
      </w:pPr>
      <w:r w:rsidRPr="00020A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4E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20AE6" w:rsidP="00020AE6"/>
    <w:sectPr w:rsidSect="00020A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6" w:rsidRPr="00CB6ADA" w:rsidP="00CB6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DA" w:rsidP="00020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ADA" w:rsidP="00020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B6ADA" w:rsidP="00020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AE6" w:rsidRPr="00CB6ADA" w:rsidP="00CB6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DA" w:rsidRPr="002D2AF8" w:rsidP="00020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TLIL2031 Monitor and process attendance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B6ADA" w:rsidP="00020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AE6"/>
  </w:style>
  <w:style w:type="character" w:customStyle="1" w:styleId="Heading1Char">
    <w:name w:val="Heading 1 Char"/>
    <w:basedOn w:val="DefaultParagraphFont"/>
    <w:link w:val="Heading1"/>
    <w:rsid w:val="00020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A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A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0AE6"/>
    <w:rPr>
      <w:b/>
      <w:spacing w:val="0"/>
    </w:rPr>
  </w:style>
  <w:style w:type="paragraph" w:customStyle="1" w:styleId="SuperHeading">
    <w:name w:val="SuperHeading"/>
    <w:basedOn w:val="Normal"/>
    <w:rsid w:val="00020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A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0A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0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A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A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AE6"/>
    <w:rPr>
      <w:i/>
    </w:rPr>
  </w:style>
  <w:style w:type="paragraph" w:styleId="Caption">
    <w:name w:val="caption"/>
    <w:basedOn w:val="BodyText"/>
    <w:next w:val="Normal"/>
    <w:qFormat/>
    <w:rsid w:val="00020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AE6"/>
  </w:style>
  <w:style w:type="paragraph" w:styleId="TableofFigures">
    <w:name w:val="table of figures"/>
    <w:basedOn w:val="Normal"/>
    <w:next w:val="Normal"/>
    <w:semiHidden/>
    <w:rsid w:val="00020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A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0AE6"/>
    <w:rPr>
      <w:rFonts w:ascii="Wingdings" w:hAnsi="Wingdings"/>
    </w:rPr>
  </w:style>
  <w:style w:type="paragraph" w:customStyle="1" w:styleId="TableHeading">
    <w:name w:val="Table Heading"/>
    <w:basedOn w:val="HeadingBase"/>
    <w:rsid w:val="00020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AE6"/>
    <w:rPr>
      <w:color w:val="0033CC"/>
      <w:u w:val="none"/>
    </w:rPr>
  </w:style>
  <w:style w:type="paragraph" w:customStyle="1" w:styleId="BodyTextRight">
    <w:name w:val="Body Text Right"/>
    <w:basedOn w:val="BodyText"/>
    <w:rsid w:val="00020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A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AE6"/>
    <w:rPr>
      <w:sz w:val="32"/>
    </w:rPr>
  </w:style>
  <w:style w:type="paragraph" w:customStyle="1" w:styleId="HeadingProcedure">
    <w:name w:val="Heading Procedure"/>
    <w:basedOn w:val="HeadingBase"/>
    <w:next w:val="Normal"/>
    <w:rsid w:val="00020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AE6"/>
    <w:pPr>
      <w:spacing w:before="60" w:after="60"/>
    </w:pPr>
  </w:style>
  <w:style w:type="paragraph" w:styleId="ListContinue">
    <w:name w:val="List Continue"/>
    <w:basedOn w:val="List"/>
    <w:rsid w:val="00020AE6"/>
    <w:pPr>
      <w:ind w:firstLine="0"/>
    </w:pPr>
  </w:style>
  <w:style w:type="paragraph" w:customStyle="1" w:styleId="ListNote">
    <w:name w:val="List Note"/>
    <w:basedOn w:val="List"/>
    <w:rsid w:val="00020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AE6"/>
    <w:rPr>
      <w:rFonts w:ascii="Courier New" w:hAnsi="Courier New"/>
    </w:rPr>
  </w:style>
  <w:style w:type="paragraph" w:customStyle="1" w:styleId="NoteBullet">
    <w:name w:val="Note Bullet"/>
    <w:basedOn w:val="Note"/>
    <w:rsid w:val="00020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A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0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AE6"/>
    <w:rPr>
      <w:b/>
      <w:smallCaps/>
    </w:rPr>
  </w:style>
  <w:style w:type="paragraph" w:customStyle="1" w:styleId="TableListNumber">
    <w:name w:val="Table List Number"/>
    <w:basedOn w:val="ListNumber"/>
    <w:rsid w:val="00020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AE6"/>
    <w:pPr>
      <w:numPr>
        <w:numId w:val="7"/>
      </w:numPr>
    </w:pPr>
  </w:style>
  <w:style w:type="paragraph" w:customStyle="1" w:styleId="ListAlpha2">
    <w:name w:val="List Alpha 2"/>
    <w:basedOn w:val="List2"/>
    <w:rsid w:val="00020AE6"/>
    <w:pPr>
      <w:numPr>
        <w:numId w:val="6"/>
      </w:numPr>
    </w:pPr>
  </w:style>
  <w:style w:type="paragraph" w:styleId="List2">
    <w:name w:val="List 2"/>
    <w:basedOn w:val="BodyText"/>
    <w:rsid w:val="00020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A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A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0AE6"/>
    <w:pPr>
      <w:numPr>
        <w:numId w:val="2"/>
      </w:numPr>
    </w:pPr>
  </w:style>
  <w:style w:type="paragraph" w:styleId="ListContinue2">
    <w:name w:val="List Continue 2"/>
    <w:basedOn w:val="List2"/>
    <w:rsid w:val="00020AE6"/>
    <w:pPr>
      <w:ind w:firstLine="0"/>
    </w:pPr>
  </w:style>
  <w:style w:type="paragraph" w:styleId="ListContinue3">
    <w:name w:val="List Continue 3"/>
    <w:basedOn w:val="List3"/>
    <w:rsid w:val="00020AE6"/>
    <w:pPr>
      <w:ind w:left="1021" w:firstLine="0"/>
    </w:pPr>
  </w:style>
  <w:style w:type="paragraph" w:styleId="ListContinue4">
    <w:name w:val="List Continue 4"/>
    <w:basedOn w:val="List4"/>
    <w:rsid w:val="00020AE6"/>
    <w:pPr>
      <w:ind w:firstLine="0"/>
    </w:pPr>
  </w:style>
  <w:style w:type="paragraph" w:styleId="ListContinue5">
    <w:name w:val="List Continue 5"/>
    <w:basedOn w:val="List5"/>
    <w:rsid w:val="00020AE6"/>
    <w:pPr>
      <w:ind w:firstLine="0"/>
    </w:pPr>
  </w:style>
  <w:style w:type="paragraph" w:styleId="ListNumber3">
    <w:name w:val="List Number 3"/>
    <w:basedOn w:val="List3"/>
    <w:rsid w:val="00020AE6"/>
    <w:pPr>
      <w:numPr>
        <w:numId w:val="3"/>
      </w:numPr>
    </w:pPr>
  </w:style>
  <w:style w:type="paragraph" w:styleId="ListNumber4">
    <w:name w:val="List Number 4"/>
    <w:basedOn w:val="List4"/>
    <w:rsid w:val="00020AE6"/>
    <w:pPr>
      <w:numPr>
        <w:numId w:val="4"/>
      </w:numPr>
    </w:pPr>
  </w:style>
  <w:style w:type="paragraph" w:styleId="ListNumber5">
    <w:name w:val="List Number 5"/>
    <w:basedOn w:val="List5"/>
    <w:rsid w:val="00020AE6"/>
    <w:pPr>
      <w:numPr>
        <w:numId w:val="5"/>
      </w:numPr>
    </w:pPr>
  </w:style>
  <w:style w:type="paragraph" w:styleId="BlockText">
    <w:name w:val="Block Text"/>
    <w:basedOn w:val="Normal"/>
    <w:rsid w:val="00020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AE6"/>
    <w:rPr>
      <w:sz w:val="16"/>
      <w:vertAlign w:val="superscript"/>
    </w:rPr>
  </w:style>
  <w:style w:type="character" w:customStyle="1" w:styleId="Symbols">
    <w:name w:val="Symbols"/>
    <w:basedOn w:val="DefaultParagraphFont"/>
    <w:rsid w:val="00020AE6"/>
    <w:rPr>
      <w:rFonts w:ascii="Symbol" w:hAnsi="Symbol"/>
    </w:rPr>
  </w:style>
  <w:style w:type="character" w:customStyle="1" w:styleId="MenuOptions">
    <w:name w:val="Menu Options"/>
    <w:basedOn w:val="DefaultParagraphFont"/>
    <w:rsid w:val="00020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AE6"/>
    <w:rPr>
      <w:b/>
    </w:rPr>
  </w:style>
  <w:style w:type="character" w:customStyle="1" w:styleId="Underlined">
    <w:name w:val="Underlined"/>
    <w:basedOn w:val="DefaultParagraphFont"/>
    <w:rsid w:val="00020AE6"/>
    <w:rPr>
      <w:u w:val="single"/>
    </w:rPr>
  </w:style>
  <w:style w:type="paragraph" w:customStyle="1" w:styleId="TableBodyTextRight">
    <w:name w:val="Table Body Text Right"/>
    <w:basedOn w:val="TableBodyText"/>
    <w:rsid w:val="00020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AE6"/>
    <w:rPr>
      <w:sz w:val="18"/>
    </w:rPr>
  </w:style>
  <w:style w:type="paragraph" w:customStyle="1" w:styleId="BodySmallRight">
    <w:name w:val="Body Small Right"/>
    <w:basedOn w:val="BodyTextRight"/>
    <w:rsid w:val="00020AE6"/>
    <w:rPr>
      <w:sz w:val="18"/>
      <w:szCs w:val="18"/>
    </w:rPr>
  </w:style>
  <w:style w:type="paragraph" w:customStyle="1" w:styleId="MarginEdition">
    <w:name w:val="Margin Edition"/>
    <w:basedOn w:val="MarginNote"/>
    <w:rsid w:val="00020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AE6"/>
    <w:rPr>
      <w:sz w:val="2"/>
      <w:szCs w:val="2"/>
    </w:rPr>
  </w:style>
  <w:style w:type="character" w:customStyle="1" w:styleId="Small">
    <w:name w:val="Small"/>
    <w:basedOn w:val="DefaultParagraphFont"/>
    <w:rsid w:val="00020AE6"/>
    <w:rPr>
      <w:sz w:val="16"/>
    </w:rPr>
  </w:style>
  <w:style w:type="paragraph" w:customStyle="1" w:styleId="WideTable">
    <w:name w:val="Wide Table"/>
    <w:basedOn w:val="Normal"/>
    <w:rsid w:val="00020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AE6"/>
  </w:style>
  <w:style w:type="paragraph" w:styleId="Quote">
    <w:name w:val="Quote"/>
    <w:basedOn w:val="Heading1"/>
    <w:link w:val="QuoteChar"/>
    <w:qFormat/>
    <w:rsid w:val="00020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AE6"/>
    <w:pPr>
      <w:pageBreakBefore/>
    </w:pPr>
  </w:style>
  <w:style w:type="paragraph" w:customStyle="1" w:styleId="Border">
    <w:name w:val="Border"/>
    <w:basedOn w:val="Normal"/>
    <w:qFormat/>
    <w:rsid w:val="00020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AE6"/>
    <w:rPr>
      <w:u w:val="single"/>
    </w:rPr>
  </w:style>
  <w:style w:type="character" w:customStyle="1" w:styleId="BoldandItalics">
    <w:name w:val="Bold and Italics"/>
    <w:qFormat/>
    <w:rsid w:val="00020AE6"/>
    <w:rPr>
      <w:b/>
      <w:i/>
      <w:u w:val="none"/>
    </w:rPr>
  </w:style>
  <w:style w:type="paragraph" w:styleId="BalloonText">
    <w:name w:val="Balloon Text"/>
    <w:basedOn w:val="Normal"/>
    <w:link w:val="BalloonTextChar"/>
    <w:rsid w:val="00020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A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A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AE6"/>
    <w:pPr>
      <w:spacing w:before="0" w:after="0"/>
    </w:pPr>
  </w:style>
  <w:style w:type="paragraph" w:customStyle="1" w:styleId="BodyTextBold">
    <w:name w:val="Body Text Bold"/>
    <w:basedOn w:val="BodyText"/>
    <w:qFormat/>
    <w:rsid w:val="00020AE6"/>
    <w:rPr>
      <w:b/>
    </w:rPr>
  </w:style>
  <w:style w:type="character" w:styleId="Hyperlink">
    <w:name w:val="Hyperlink"/>
    <w:basedOn w:val="DefaultParagraphFont"/>
    <w:uiPriority w:val="99"/>
    <w:unhideWhenUsed/>
    <w:rsid w:val="00CB6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2527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TLIL2031 Monitor and process attendance records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