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A74" w:rsidP="00841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TLIL0022 Coordinate rail safety interface agreements</w:t>
      </w:r>
      <w:r>
        <w:fldChar w:fldCharType="end"/>
      </w:r>
    </w:p>
    <w:p w:rsidR="00841A74" w:rsidP="00841A74">
      <w:pPr>
        <w:pStyle w:val="Version"/>
        <w:sectPr w:rsidSect="00ED6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740" w:rsidP="00ED6740">
      <w:pPr>
        <w:pStyle w:val="SuperHeading"/>
      </w:pPr>
      <w:r w:rsidRPr="00ED6740">
        <w:t>TLIL0022 Coordinate rail safety interface agreements</w:t>
      </w:r>
    </w:p>
    <w:p w:rsidR="00000000" w:rsidRPr="00ED6740" w:rsidP="00ED6740">
      <w:pPr>
        <w:pStyle w:val="Heading1"/>
      </w:pPr>
      <w:bookmarkStart w:id="1" w:name="O_1240643"/>
      <w:bookmarkEnd w:id="1"/>
      <w:r w:rsidRPr="00ED67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Release 1</w:t>
            </w:r>
            <w:r w:rsidRPr="00ED6740">
              <w:t>. This is the first release of this unit of competency in the TLI Transport and Logistics Training Package.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2" w:name="O_1240644"/>
      <w:bookmarkEnd w:id="2"/>
      <w:r w:rsidRPr="00ED67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This unit involves the skills and knowledge required to coordinate</w:t>
            </w:r>
            <w:r w:rsidRPr="00ED6740">
              <w:t xml:space="preserve"> rail safety interface agreements in accordance with rail safety legislation, regulatory and rail network requirements.</w:t>
            </w:r>
          </w:p>
          <w:p w:rsidR="00000000" w:rsidRPr="00ED6740" w:rsidP="00ED6740">
            <w:pPr>
              <w:pStyle w:val="BodyText"/>
            </w:pPr>
            <w:r w:rsidRPr="00ED6740">
              <w:t>It includes identifying requirements and establishing, monitoring and conducting audits of rail interface agreements.</w:t>
            </w:r>
          </w:p>
          <w:p w:rsidR="00000000" w:rsidRPr="00ED6740" w:rsidP="00ED6740">
            <w:pPr>
              <w:pStyle w:val="BodyText"/>
            </w:pPr>
            <w:r w:rsidRPr="00ED6740">
              <w:t>This unit refers t</w:t>
            </w:r>
            <w:r w:rsidRPr="00ED6740">
              <w:t>o coordinating rail safety interface agreements between rail/rail (operations of one rail transport operator or Rail Infrastructure Manager (RIM) in relation to the operations of another) and rail/road (roads crossing rail tracks or rail crossing roads).</w:t>
            </w:r>
          </w:p>
          <w:p w:rsidR="00000000" w:rsidRPr="00ED6740" w:rsidP="00ED6740">
            <w:pPr>
              <w:pStyle w:val="BodyText"/>
            </w:pPr>
            <w:r w:rsidRPr="00ED6740">
              <w:t>N</w:t>
            </w:r>
            <w:r w:rsidRPr="00ED6740">
              <w:t>o licensing, legislative or certification requirements apply to this unit at the time of publication.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3" w:name="O_1240645"/>
      <w:bookmarkEnd w:id="3"/>
      <w:r w:rsidRPr="00ED67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Not applicable.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4" w:name="O_1240646"/>
      <w:bookmarkEnd w:id="4"/>
      <w:r w:rsidRPr="00ED67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L – Resource Management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5" w:name="O_1240647"/>
      <w:bookmarkEnd w:id="5"/>
      <w:r w:rsidRPr="00ED67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Rail sector.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6" w:name="O_1240648"/>
      <w:bookmarkEnd w:id="6"/>
      <w:r w:rsidRPr="00ED67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6"/>
        <w:gridCol w:w="3310"/>
        <w:gridCol w:w="1317"/>
        <w:gridCol w:w="4194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Elements describe the essential outcomes.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Performance criteria describe the performance needed to demonstrate achievement of the element.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1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Confirm regulatory and organisational requirements and responsibilities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1.1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Regulatory, stakeholders and rail transport operator requirements for establishing rail interface agreements are identified and assessed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1.2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Types of interfaces for which agreem</w:t>
            </w:r>
            <w:r w:rsidRPr="00ED6740">
              <w:t xml:space="preserve">ents </w:t>
            </w:r>
            <w:r w:rsidRPr="00ED6740">
              <w:t>are monitored in accordance with rail safety legislation and rail transport operator requirements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1.3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Interface organisation responsibilities are identified and monitored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1.4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Stakeholder roles and responsibilities for the interface agreement are</w:t>
            </w:r>
            <w:r w:rsidRPr="00ED6740">
              <w:t xml:space="preserve"> identified and confirmed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1.5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Communications are established with stakeholders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2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Monitor rail safety</w:t>
            </w:r>
            <w:r w:rsidRPr="00ED6740">
              <w:t xml:space="preserve"> </w:t>
            </w:r>
            <w:r w:rsidRPr="00ED6740">
              <w:rPr>
                <w:rStyle w:val="SpecialBold"/>
              </w:rPr>
              <w:t>interface agreements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Documentation is identified and used in accordance with rail safety legislation requirements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Safety interface agreement risk assessments are carried out in accordance with rail safety legislation requirements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 xml:space="preserve">Safety interface agreement risks and measures for implementation are monitored in accordance with rail safety legislation 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2.4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Saf</w:t>
            </w:r>
            <w:r w:rsidRPr="00ED6740">
              <w:t>ety interface agreement roles and responsibilities are coordinated in accordance with regulatory requirements and rail safety legislation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2.5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Rail safety interface agreement is monitored in accordance with rail safety legislation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2.6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 xml:space="preserve">Register </w:t>
            </w:r>
            <w:r w:rsidRPr="00ED6740">
              <w:t>of rail safety interface agreements are checked for currency in accordance with rail safety legislation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3</w:t>
            </w: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Conduct rail safety</w:t>
            </w:r>
            <w:r w:rsidRPr="00ED6740">
              <w:t xml:space="preserve"> </w:t>
            </w:r>
            <w:r w:rsidRPr="00ED6740">
              <w:rPr>
                <w:rStyle w:val="SpecialBold"/>
              </w:rPr>
              <w:t>interface agreement audits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3.1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Periodic rail safety interface agreement audits are conducted in accordance with rail safety legislation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3.2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Identified non-compliance and/or variations to rail safety interface agreement are identified and communicated to appropriate stakeholders for r</w:t>
            </w:r>
            <w:r w:rsidRPr="00ED6740">
              <w:t>esolution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>
            <w:pPr>
              <w:pStyle w:val="BodyText"/>
              <w:keepLines w:val="0"/>
              <w:spacing w:before="0" w:after="0"/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rPr>
                <w:rStyle w:val="SpecialBold"/>
              </w:rPr>
              <w:t>3.3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Audit reports are compiled and provided to appropriate stakeholders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7" w:name="O_1240649"/>
      <w:bookmarkEnd w:id="7"/>
      <w:r w:rsidRPr="00ED67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Foundation skills essential to performance are explicit in the performance criteria of this unit of competency.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8" w:name="O_1240650"/>
      <w:bookmarkEnd w:id="8"/>
      <w:r w:rsidRPr="00ED67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Range is restricted to essential operating conditions and any other variables essential to the work environment.</w:t>
            </w:r>
          </w:p>
          <w:p w:rsidR="00000000" w:rsidRPr="00ED6740" w:rsidP="00ED6740">
            <w:pPr>
              <w:pStyle w:val="BodyText"/>
            </w:pPr>
            <w:r w:rsidRPr="00ED6740">
              <w:t>Non-essential conditions can be found in the TLI Transport and Logistics Training Package Companion Volume Impleme</w:t>
            </w:r>
            <w:r w:rsidRPr="00ED6740">
              <w:t>ntation Guide.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9" w:name="O_1240651"/>
      <w:bookmarkEnd w:id="9"/>
      <w:r w:rsidRPr="00ED67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>This unit replaces but is not equivalent to TLIL4082 Coordinate rail interface agreements.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10" w:name="O_1240658"/>
      <w:bookmarkEnd w:id="10"/>
      <w:r w:rsidRPr="00ED6740">
        <w:t>Links</w:t>
      </w:r>
    </w:p>
    <w:p w:rsidR="00000000" w:rsidRPr="00ED6740" w:rsidP="00841A74">
      <w:pPr>
        <w:pStyle w:val="BodyText"/>
      </w:pPr>
      <w:r w:rsidRPr="00ED6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23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D6740" w:rsidP="00841A74">
      <w:pPr>
        <w:pStyle w:val="BodyText"/>
        <w:sectPr w:rsidSect="00ED67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6740" w:rsidP="00ED6740">
      <w:pPr>
        <w:pStyle w:val="SuperHeading"/>
      </w:pPr>
      <w:r w:rsidRPr="00ED6740">
        <w:t>Assessment Requirements for TLIL0022 Coordinate rail safety int</w:t>
      </w:r>
      <w:r w:rsidRPr="00ED6740">
        <w:t>erface agreements</w:t>
      </w:r>
    </w:p>
    <w:p w:rsidR="00000000" w:rsidRPr="00ED6740" w:rsidP="00ED6740">
      <w:pPr>
        <w:pStyle w:val="Heading1"/>
      </w:pPr>
      <w:bookmarkStart w:id="11" w:name="O_1240653"/>
      <w:bookmarkEnd w:id="11"/>
      <w:r w:rsidRPr="00ED67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rPr>
                <w:rStyle w:val="SpecialBold"/>
              </w:rPr>
              <w:t>Release 1</w:t>
            </w:r>
            <w:r w:rsidRPr="00ED6740">
              <w:t>. This is the first release of this unit of competency in the TLI Transport and Logistics Training Package.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12" w:name="O_1240654"/>
      <w:bookmarkEnd w:id="12"/>
      <w:r w:rsidRPr="00ED67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Evidence required to demonstrate compet</w:t>
            </w:r>
            <w:r w:rsidRPr="00ED6740">
              <w:t>ence in this unit must be relevant to and satisfy all of the requirements of the elements and performance criteria on at least three separate occasions and include: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ListBullet"/>
            </w:pPr>
            <w:r w:rsidRPr="00ED6740">
              <w:t>accessing rail safety interface agreement documentation</w:t>
            </w:r>
          </w:p>
          <w:p w:rsidR="00000000" w:rsidRPr="00ED6740" w:rsidP="00ED6740">
            <w:pPr>
              <w:pStyle w:val="ListBullet"/>
            </w:pPr>
            <w:r w:rsidRPr="00ED6740">
              <w:t xml:space="preserve">applying relevant legislation </w:t>
            </w:r>
          </w:p>
          <w:p w:rsidR="00000000" w:rsidRPr="00ED6740" w:rsidP="00ED6740">
            <w:pPr>
              <w:pStyle w:val="ListBullet"/>
            </w:pPr>
            <w:r w:rsidRPr="00ED6740">
              <w:t xml:space="preserve">communicating effectively and working collaboratively with others </w:t>
            </w:r>
          </w:p>
          <w:p w:rsidR="00000000" w:rsidRPr="00ED6740" w:rsidP="00ED6740">
            <w:pPr>
              <w:pStyle w:val="ListBullet"/>
            </w:pPr>
            <w:r w:rsidRPr="00ED6740">
              <w:t>conducting an audit of rail safety interface agreements</w:t>
            </w:r>
          </w:p>
          <w:p w:rsidR="00000000" w:rsidRPr="00ED6740" w:rsidP="00ED6740">
            <w:pPr>
              <w:pStyle w:val="ListBullet"/>
            </w:pPr>
            <w:r w:rsidRPr="00ED6740">
              <w:t>identifying rail interface agreement requirements</w:t>
            </w:r>
          </w:p>
          <w:p w:rsidR="00000000" w:rsidRPr="00ED6740" w:rsidP="00ED6740">
            <w:pPr>
              <w:pStyle w:val="ListBullet"/>
            </w:pPr>
            <w:r w:rsidRPr="00ED6740">
              <w:t>reporting on rail network compliance and effectiveness of interface agreements.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13" w:name="O_1240655"/>
      <w:bookmarkEnd w:id="13"/>
      <w:r w:rsidRPr="00ED67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740">
            <w:pPr>
              <w:pStyle w:val="BodyText"/>
              <w:rPr>
                <w:lang w:val="en-NZ"/>
              </w:rPr>
            </w:pPr>
            <w:r w:rsidRPr="00ED674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ListBullet"/>
            </w:pPr>
            <w:r w:rsidRPr="00ED6740">
              <w:t>procedures for auditing rail interfac</w:t>
            </w:r>
            <w:r w:rsidRPr="00ED6740">
              <w:t xml:space="preserve">e agreements and reporting audit outcomes </w:t>
            </w:r>
          </w:p>
          <w:p w:rsidR="00000000" w:rsidRPr="00ED6740" w:rsidP="00ED6740">
            <w:pPr>
              <w:pStyle w:val="ListBullet"/>
            </w:pPr>
            <w:r w:rsidRPr="00ED6740">
              <w:t>relevant rail safety legislation and regulations relating to rail safety interface agreements</w:t>
            </w:r>
          </w:p>
          <w:p w:rsidR="00000000" w:rsidRPr="00ED6740" w:rsidP="00ED6740">
            <w:pPr>
              <w:pStyle w:val="ListBullet"/>
            </w:pPr>
            <w:r w:rsidRPr="00ED6740">
              <w:t>responsibilities for maintaining rail safety interface agreements</w:t>
            </w:r>
          </w:p>
          <w:p w:rsidR="00000000" w:rsidRPr="00ED6740" w:rsidP="00ED6740">
            <w:pPr>
              <w:pStyle w:val="ListBullet"/>
            </w:pPr>
            <w:r w:rsidRPr="00ED6740">
              <w:t>roles and responsibilities of the rail safety interface agreements.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14" w:name="O_1240656"/>
      <w:bookmarkEnd w:id="14"/>
      <w:r w:rsidRPr="00ED67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67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740" w:rsidP="00ED6740">
            <w:pPr>
              <w:pStyle w:val="BodyText"/>
            </w:pPr>
            <w:r w:rsidRPr="00ED6740">
              <w:t xml:space="preserve">Assessors must hold credentials specified within the Standards for Registered Training Organisations current at the time of assessment. </w:t>
            </w:r>
          </w:p>
          <w:p w:rsidR="00000000" w:rsidRPr="00ED6740" w:rsidP="00ED6740">
            <w:pPr>
              <w:pStyle w:val="BodyText"/>
            </w:pPr>
            <w:r w:rsidRPr="00ED6740">
              <w:t>Assessme</w:t>
            </w:r>
            <w:r w:rsidRPr="00ED6740">
              <w:t>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D6740" w:rsidP="00ED6740">
            <w:pPr>
              <w:pStyle w:val="BodyText"/>
            </w:pPr>
            <w:r w:rsidRPr="00ED6740">
              <w:t>Assessment must occur in workplace operational situati</w:t>
            </w:r>
            <w:r w:rsidRPr="00ED6740">
              <w:t>ons where it is appropriate to do so; where this is not appropriate, assessment must occur in simulated workplace operational situations that replicate workplace conditions.</w:t>
            </w:r>
          </w:p>
          <w:p w:rsidR="00000000" w:rsidRPr="00ED6740" w:rsidP="00ED6740">
            <w:pPr>
              <w:pStyle w:val="BodyText"/>
            </w:pPr>
            <w:r w:rsidRPr="00ED6740">
              <w:t xml:space="preserve">Assessment processes and techniques must be appropriate to the language, literacy </w:t>
            </w:r>
            <w:r w:rsidRPr="00ED6740">
              <w:t>and numeracy requirements of the work being performed and the needs of the candidate.</w:t>
            </w:r>
          </w:p>
          <w:p w:rsidR="00000000" w:rsidRPr="00ED6740" w:rsidP="00ED6740">
            <w:pPr>
              <w:pStyle w:val="BodyText"/>
            </w:pPr>
            <w:r w:rsidRPr="00ED6740">
              <w:t>Resources for assessment must include access to:</w:t>
            </w:r>
          </w:p>
          <w:p w:rsidR="00000000" w:rsidRPr="00ED6740" w:rsidP="00ED6740">
            <w:pPr>
              <w:pStyle w:val="ListBullet"/>
            </w:pPr>
            <w:r w:rsidRPr="00ED6740">
              <w:t>a range of relevant rail safety interface exercises, case studies and/or simulations</w:t>
            </w:r>
          </w:p>
          <w:p w:rsidR="00000000" w:rsidRPr="00ED6740" w:rsidP="00ED6740">
            <w:pPr>
              <w:pStyle w:val="ListBullet"/>
            </w:pPr>
            <w:r w:rsidRPr="00ED6740">
              <w:t>applicable documentation including workplace procedures, regulations, codes of practice and operation manuals.</w:t>
            </w:r>
          </w:p>
        </w:tc>
      </w:tr>
    </w:tbl>
    <w:p w:rsidR="00000000" w:rsidRPr="00ED6740" w:rsidP="00ED6740">
      <w:pPr>
        <w:pStyle w:val="NoPaddingFontSize1"/>
      </w:pPr>
    </w:p>
    <w:p w:rsidR="00000000" w:rsidRPr="00ED6740" w:rsidP="00ED6740">
      <w:pPr>
        <w:pStyle w:val="AllowPageBreak"/>
      </w:pPr>
    </w:p>
    <w:p w:rsidR="00000000" w:rsidRPr="00ED6740" w:rsidP="00ED6740">
      <w:pPr>
        <w:pStyle w:val="Heading1"/>
      </w:pPr>
      <w:bookmarkStart w:id="15" w:name="O_1240659"/>
      <w:bookmarkEnd w:id="15"/>
      <w:r w:rsidRPr="00ED6740">
        <w:t>Links</w:t>
      </w:r>
    </w:p>
    <w:p w:rsidR="00000000" w:rsidRPr="00ED6740" w:rsidP="00841A74">
      <w:pPr>
        <w:pStyle w:val="BodyText"/>
      </w:pPr>
      <w:r w:rsidRPr="00ED6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23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D6740" w:rsidP="00ED6740"/>
    <w:sectPr w:rsidSect="00ED67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 w:rsidRPr="00841A74" w:rsidP="00841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74" w:rsidP="00ED6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A74" w:rsidP="00ED6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1A74" w:rsidP="00ED67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 w:rsidP="00ED6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1A74">
      <w:t>Approved</w:t>
    </w:r>
    <w:r w:rsidR="00841A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1A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1A74">
      <w:rPr>
        <w:noProof/>
      </w:rPr>
      <w:t>4</w:t>
    </w:r>
    <w:r>
      <w:rPr>
        <w:noProof/>
      </w:rPr>
      <w:fldChar w:fldCharType="end"/>
    </w:r>
  </w:p>
  <w:p w:rsidR="00ED6740" w:rsidP="00ED6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1A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1A74">
      <w:t>Industry Skills Australia</w:t>
    </w:r>
    <w:r w:rsidR="00841A74">
      <w:fldChar w:fldCharType="end"/>
    </w:r>
  </w:p>
  <w:p w:rsidR="00ED6740" w:rsidP="00ED6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740" w:rsidRPr="00841A74" w:rsidP="00841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74" w:rsidRPr="002D2AF8" w:rsidP="00ED6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TLIL0022 Coordinate rail safety interface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1A74" w:rsidP="00ED67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40" w:rsidRPr="002D2AF8" w:rsidP="00ED6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1A74">
      <w:t>TLIL0022 Coordinate rail safety interface agreements</w:t>
    </w:r>
    <w:r w:rsidR="00841A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1A74">
      <w:rPr>
        <w:noProof/>
      </w:rPr>
      <w:t>2 March 2025</w:t>
    </w:r>
    <w:r>
      <w:fldChar w:fldCharType="end"/>
    </w:r>
  </w:p>
  <w:p w:rsidR="00ED6740" w:rsidP="00ED6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1A6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6C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740"/>
  </w:style>
  <w:style w:type="character" w:customStyle="1" w:styleId="Heading1Char">
    <w:name w:val="Heading 1 Char"/>
    <w:basedOn w:val="DefaultParagraphFont"/>
    <w:link w:val="Heading1"/>
    <w:rsid w:val="00ED6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7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740"/>
    <w:rPr>
      <w:b/>
      <w:spacing w:val="0"/>
    </w:rPr>
  </w:style>
  <w:style w:type="paragraph" w:customStyle="1" w:styleId="SuperHeading">
    <w:name w:val="SuperHeading"/>
    <w:basedOn w:val="Normal"/>
    <w:rsid w:val="00ED6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6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7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740"/>
    <w:rPr>
      <w:i/>
    </w:rPr>
  </w:style>
  <w:style w:type="paragraph" w:styleId="Caption">
    <w:name w:val="caption"/>
    <w:basedOn w:val="BodyText"/>
    <w:next w:val="Normal"/>
    <w:qFormat/>
    <w:rsid w:val="00ED6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740"/>
  </w:style>
  <w:style w:type="paragraph" w:styleId="TableofFigures">
    <w:name w:val="table of figures"/>
    <w:basedOn w:val="Normal"/>
    <w:next w:val="Normal"/>
    <w:semiHidden/>
    <w:rsid w:val="00ED6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7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740"/>
    <w:rPr>
      <w:rFonts w:ascii="Wingdings" w:hAnsi="Wingdings"/>
    </w:rPr>
  </w:style>
  <w:style w:type="paragraph" w:customStyle="1" w:styleId="TableHeading">
    <w:name w:val="Table Heading"/>
    <w:basedOn w:val="HeadingBase"/>
    <w:rsid w:val="00ED6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740"/>
    <w:rPr>
      <w:color w:val="0033CC"/>
      <w:u w:val="none"/>
    </w:rPr>
  </w:style>
  <w:style w:type="paragraph" w:customStyle="1" w:styleId="BodyTextRight">
    <w:name w:val="Body Text Right"/>
    <w:basedOn w:val="BodyText"/>
    <w:rsid w:val="00ED6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7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740"/>
    <w:rPr>
      <w:sz w:val="32"/>
    </w:rPr>
  </w:style>
  <w:style w:type="paragraph" w:customStyle="1" w:styleId="HeadingProcedure">
    <w:name w:val="Heading Procedure"/>
    <w:basedOn w:val="HeadingBase"/>
    <w:next w:val="Normal"/>
    <w:rsid w:val="00ED6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740"/>
    <w:pPr>
      <w:spacing w:before="60" w:after="60"/>
    </w:pPr>
  </w:style>
  <w:style w:type="paragraph" w:styleId="ListContinue">
    <w:name w:val="List Continue"/>
    <w:basedOn w:val="List"/>
    <w:rsid w:val="00ED6740"/>
    <w:pPr>
      <w:ind w:firstLine="0"/>
    </w:pPr>
  </w:style>
  <w:style w:type="paragraph" w:customStyle="1" w:styleId="ListNote">
    <w:name w:val="List Note"/>
    <w:basedOn w:val="List"/>
    <w:rsid w:val="00ED6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740"/>
    <w:rPr>
      <w:rFonts w:ascii="Courier New" w:hAnsi="Courier New"/>
    </w:rPr>
  </w:style>
  <w:style w:type="paragraph" w:customStyle="1" w:styleId="NoteBullet">
    <w:name w:val="Note Bullet"/>
    <w:basedOn w:val="Note"/>
    <w:rsid w:val="00ED6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7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740"/>
    <w:rPr>
      <w:b/>
      <w:smallCaps/>
    </w:rPr>
  </w:style>
  <w:style w:type="paragraph" w:customStyle="1" w:styleId="TableListNumber">
    <w:name w:val="Table List Number"/>
    <w:basedOn w:val="ListNumber"/>
    <w:rsid w:val="00ED6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740"/>
    <w:pPr>
      <w:numPr>
        <w:numId w:val="8"/>
      </w:numPr>
    </w:pPr>
  </w:style>
  <w:style w:type="paragraph" w:customStyle="1" w:styleId="ListAlpha2">
    <w:name w:val="List Alpha 2"/>
    <w:basedOn w:val="List2"/>
    <w:rsid w:val="00ED6740"/>
    <w:pPr>
      <w:numPr>
        <w:numId w:val="7"/>
      </w:numPr>
    </w:pPr>
  </w:style>
  <w:style w:type="paragraph" w:styleId="List2">
    <w:name w:val="List 2"/>
    <w:basedOn w:val="BodyText"/>
    <w:rsid w:val="00ED6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7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7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740"/>
    <w:pPr>
      <w:numPr>
        <w:numId w:val="3"/>
      </w:numPr>
    </w:pPr>
  </w:style>
  <w:style w:type="paragraph" w:styleId="ListContinue2">
    <w:name w:val="List Continue 2"/>
    <w:basedOn w:val="List2"/>
    <w:rsid w:val="00ED6740"/>
    <w:pPr>
      <w:ind w:firstLine="0"/>
    </w:pPr>
  </w:style>
  <w:style w:type="paragraph" w:styleId="ListContinue3">
    <w:name w:val="List Continue 3"/>
    <w:basedOn w:val="List3"/>
    <w:rsid w:val="00ED6740"/>
    <w:pPr>
      <w:ind w:left="1021" w:firstLine="0"/>
    </w:pPr>
  </w:style>
  <w:style w:type="paragraph" w:styleId="ListContinue4">
    <w:name w:val="List Continue 4"/>
    <w:basedOn w:val="List4"/>
    <w:rsid w:val="00ED6740"/>
    <w:pPr>
      <w:ind w:firstLine="0"/>
    </w:pPr>
  </w:style>
  <w:style w:type="paragraph" w:styleId="ListContinue5">
    <w:name w:val="List Continue 5"/>
    <w:basedOn w:val="List5"/>
    <w:rsid w:val="00ED6740"/>
    <w:pPr>
      <w:ind w:firstLine="0"/>
    </w:pPr>
  </w:style>
  <w:style w:type="paragraph" w:styleId="ListNumber3">
    <w:name w:val="List Number 3"/>
    <w:basedOn w:val="List3"/>
    <w:rsid w:val="00ED6740"/>
    <w:pPr>
      <w:numPr>
        <w:numId w:val="4"/>
      </w:numPr>
    </w:pPr>
  </w:style>
  <w:style w:type="paragraph" w:styleId="ListNumber4">
    <w:name w:val="List Number 4"/>
    <w:basedOn w:val="List4"/>
    <w:rsid w:val="00ED6740"/>
    <w:pPr>
      <w:numPr>
        <w:numId w:val="5"/>
      </w:numPr>
    </w:pPr>
  </w:style>
  <w:style w:type="paragraph" w:styleId="ListNumber5">
    <w:name w:val="List Number 5"/>
    <w:basedOn w:val="List5"/>
    <w:rsid w:val="00ED6740"/>
    <w:pPr>
      <w:numPr>
        <w:numId w:val="6"/>
      </w:numPr>
    </w:pPr>
  </w:style>
  <w:style w:type="paragraph" w:styleId="BlockText">
    <w:name w:val="Block Text"/>
    <w:basedOn w:val="Normal"/>
    <w:rsid w:val="00ED6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740"/>
    <w:rPr>
      <w:sz w:val="16"/>
      <w:vertAlign w:val="superscript"/>
    </w:rPr>
  </w:style>
  <w:style w:type="character" w:customStyle="1" w:styleId="Symbols">
    <w:name w:val="Symbols"/>
    <w:basedOn w:val="DefaultParagraphFont"/>
    <w:rsid w:val="00ED6740"/>
    <w:rPr>
      <w:rFonts w:ascii="Symbol" w:hAnsi="Symbol"/>
    </w:rPr>
  </w:style>
  <w:style w:type="character" w:customStyle="1" w:styleId="MenuOptions">
    <w:name w:val="Menu Options"/>
    <w:basedOn w:val="DefaultParagraphFont"/>
    <w:rsid w:val="00ED6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740"/>
    <w:rPr>
      <w:b/>
    </w:rPr>
  </w:style>
  <w:style w:type="character" w:customStyle="1" w:styleId="Underlined">
    <w:name w:val="Underlined"/>
    <w:basedOn w:val="DefaultParagraphFont"/>
    <w:rsid w:val="00ED6740"/>
    <w:rPr>
      <w:u w:val="single"/>
    </w:rPr>
  </w:style>
  <w:style w:type="paragraph" w:customStyle="1" w:styleId="TableBodyTextRight">
    <w:name w:val="Table Body Text Right"/>
    <w:basedOn w:val="TableBodyText"/>
    <w:rsid w:val="00ED6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740"/>
    <w:rPr>
      <w:sz w:val="18"/>
    </w:rPr>
  </w:style>
  <w:style w:type="paragraph" w:customStyle="1" w:styleId="BodySmallRight">
    <w:name w:val="Body Small Right"/>
    <w:basedOn w:val="BodyTextRight"/>
    <w:rsid w:val="00ED6740"/>
    <w:rPr>
      <w:sz w:val="18"/>
      <w:szCs w:val="18"/>
    </w:rPr>
  </w:style>
  <w:style w:type="paragraph" w:customStyle="1" w:styleId="MarginEdition">
    <w:name w:val="Margin Edition"/>
    <w:basedOn w:val="MarginNote"/>
    <w:rsid w:val="00ED6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740"/>
    <w:rPr>
      <w:sz w:val="2"/>
      <w:szCs w:val="2"/>
    </w:rPr>
  </w:style>
  <w:style w:type="character" w:customStyle="1" w:styleId="Small">
    <w:name w:val="Small"/>
    <w:basedOn w:val="DefaultParagraphFont"/>
    <w:rsid w:val="00ED6740"/>
    <w:rPr>
      <w:sz w:val="16"/>
    </w:rPr>
  </w:style>
  <w:style w:type="paragraph" w:customStyle="1" w:styleId="WideTable">
    <w:name w:val="Wide Table"/>
    <w:basedOn w:val="Normal"/>
    <w:rsid w:val="00ED6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740"/>
  </w:style>
  <w:style w:type="paragraph" w:styleId="Quote">
    <w:name w:val="Quote"/>
    <w:basedOn w:val="Heading1"/>
    <w:link w:val="QuoteChar"/>
    <w:qFormat/>
    <w:rsid w:val="00ED6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740"/>
    <w:pPr>
      <w:pageBreakBefore/>
    </w:pPr>
  </w:style>
  <w:style w:type="paragraph" w:customStyle="1" w:styleId="Border">
    <w:name w:val="Border"/>
    <w:basedOn w:val="Normal"/>
    <w:qFormat/>
    <w:rsid w:val="00ED6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740"/>
    <w:rPr>
      <w:u w:val="single"/>
    </w:rPr>
  </w:style>
  <w:style w:type="character" w:customStyle="1" w:styleId="BoldandItalics">
    <w:name w:val="Bold and Italics"/>
    <w:qFormat/>
    <w:rsid w:val="00ED6740"/>
    <w:rPr>
      <w:b/>
      <w:i/>
      <w:u w:val="none"/>
    </w:rPr>
  </w:style>
  <w:style w:type="paragraph" w:styleId="BalloonText">
    <w:name w:val="Balloon Text"/>
    <w:basedOn w:val="Normal"/>
    <w:link w:val="BalloonTextChar"/>
    <w:rsid w:val="00ED6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740"/>
    <w:pPr>
      <w:spacing w:before="0" w:after="0"/>
    </w:pPr>
  </w:style>
  <w:style w:type="paragraph" w:customStyle="1" w:styleId="BodyTextBold">
    <w:name w:val="Body Text Bold"/>
    <w:basedOn w:val="BodyText"/>
    <w:qFormat/>
    <w:rsid w:val="00ED6740"/>
    <w:rPr>
      <w:b/>
    </w:rPr>
  </w:style>
  <w:style w:type="character" w:styleId="Hyperlink">
    <w:name w:val="Hyperlink"/>
    <w:basedOn w:val="DefaultParagraphFont"/>
    <w:uiPriority w:val="99"/>
    <w:unhideWhenUsed/>
    <w:rsid w:val="00841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5564</Characters>
  <Application>Microsoft Office Word</Application>
  <DocSecurity>0</DocSecurity>
  <Lines>214</Lines>
  <Paragraphs>106</Paragraphs>
  <ScaleCrop>false</ScaleCrop>
  <Company>Author-it Software Corporation Ltd.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TLIL0022 Coordinate rail safety interface agreements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