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455B" w:rsidP="001E45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TLIL0011 Implement equal employment opportunity strategies</w:t>
      </w:r>
      <w:r>
        <w:fldChar w:fldCharType="end"/>
      </w:r>
    </w:p>
    <w:p w:rsidR="001E455B" w:rsidP="001E455B">
      <w:pPr>
        <w:pStyle w:val="Version"/>
        <w:sectPr w:rsidSect="00805B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5B9E" w:rsidP="00805B9E">
      <w:pPr>
        <w:pStyle w:val="SuperHeading"/>
      </w:pPr>
      <w:r w:rsidRPr="00805B9E">
        <w:t>TLIL0011 Implement equal employment opportunity strategies</w:t>
      </w:r>
    </w:p>
    <w:p w:rsidR="00000000" w:rsidRPr="00805B9E" w:rsidP="00805B9E">
      <w:pPr>
        <w:pStyle w:val="Heading1"/>
      </w:pPr>
      <w:bookmarkStart w:id="1" w:name="O_1194536"/>
      <w:bookmarkEnd w:id="1"/>
      <w:r w:rsidRPr="00805B9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5B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 w:rsidP="00805B9E">
            <w:pPr>
              <w:pStyle w:val="BodyText"/>
            </w:pPr>
            <w:r w:rsidRPr="00805B9E">
              <w:rPr>
                <w:rStyle w:val="SpecialBold"/>
              </w:rPr>
              <w:t>Release 1.</w:t>
            </w:r>
            <w:r w:rsidRPr="00805B9E">
              <w:t xml:space="preserve"> This is the first release of this unit of competency in the TLI Transport and Logistics Training Package.</w:t>
            </w:r>
          </w:p>
        </w:tc>
      </w:tr>
    </w:tbl>
    <w:p w:rsidR="001E455B" w:rsidP="00805B9E">
      <w:pPr>
        <w:pStyle w:val="NoPaddingFontSize1"/>
      </w:pPr>
    </w:p>
    <w:p w:rsidR="001E455B" w:rsidP="00805B9E">
      <w:pPr>
        <w:pStyle w:val="NoPaddingFontSize1"/>
      </w:pPr>
    </w:p>
    <w:p w:rsidR="00000000" w:rsidRPr="00805B9E" w:rsidP="00805B9E">
      <w:pPr>
        <w:pStyle w:val="Heading1"/>
      </w:pPr>
      <w:bookmarkStart w:id="2" w:name="O_1194537"/>
      <w:bookmarkEnd w:id="2"/>
      <w:r w:rsidRPr="00805B9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5B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 w:rsidP="00805B9E">
            <w:pPr>
              <w:pStyle w:val="BodyText"/>
            </w:pPr>
            <w:r w:rsidRPr="00805B9E">
              <w:t xml:space="preserve">This unit involves the skills and knowledge required to implement </w:t>
            </w:r>
            <w:r w:rsidRPr="00805B9E">
              <w:t>equal employment opportunity (EEO) strategies.</w:t>
            </w:r>
          </w:p>
          <w:p w:rsidR="00000000" w:rsidRPr="00805B9E" w:rsidP="00805B9E">
            <w:pPr>
              <w:pStyle w:val="BodyText"/>
            </w:pPr>
            <w:r w:rsidRPr="00805B9E">
              <w:t>It includes identifying and communicating agreed EEO strategies, responding to EEO enquiries, implementing and monitoring EEO strategies, and contributing to EEO policy reviews. It also includes implementing E</w:t>
            </w:r>
            <w:r w:rsidRPr="00805B9E">
              <w:t>EO policies, and evaluating and reporting on the implementation of EEO strategies in the workplace in accordance with regulatory and workplace requirements.</w:t>
            </w:r>
          </w:p>
          <w:p w:rsidR="00000000" w:rsidRPr="00805B9E" w:rsidP="00805B9E">
            <w:pPr>
              <w:pStyle w:val="BodyText"/>
            </w:pPr>
            <w:r w:rsidRPr="00805B9E">
              <w:t>While work is performed individually the ability to work within a team environment may be required.</w:t>
            </w:r>
          </w:p>
          <w:p w:rsidR="00000000" w:rsidRPr="00805B9E" w:rsidP="00805B9E">
            <w:pPr>
              <w:pStyle w:val="BodyText"/>
            </w:pPr>
            <w:r w:rsidRPr="00805B9E">
              <w:t>No licensing, legislative or certification requirements apply to this unit at the time of publication.</w:t>
            </w:r>
          </w:p>
        </w:tc>
      </w:tr>
    </w:tbl>
    <w:p w:rsidR="001E455B" w:rsidP="00805B9E">
      <w:pPr>
        <w:pStyle w:val="NoPaddingFontSize1"/>
      </w:pPr>
    </w:p>
    <w:p w:rsidR="001E455B" w:rsidP="00805B9E">
      <w:pPr>
        <w:pStyle w:val="NoPaddingFontSize1"/>
      </w:pPr>
    </w:p>
    <w:p w:rsidR="00000000" w:rsidRPr="00805B9E" w:rsidP="00805B9E">
      <w:pPr>
        <w:pStyle w:val="Heading1"/>
      </w:pPr>
      <w:bookmarkStart w:id="3" w:name="O_1194538"/>
      <w:bookmarkEnd w:id="3"/>
      <w:r w:rsidRPr="00805B9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5B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 w:rsidP="00805B9E">
            <w:pPr>
              <w:pStyle w:val="BodyText"/>
            </w:pPr>
            <w:r w:rsidRPr="00805B9E">
              <w:t>Not applicable.</w:t>
            </w:r>
          </w:p>
        </w:tc>
      </w:tr>
    </w:tbl>
    <w:p w:rsidR="001E455B" w:rsidP="00805B9E">
      <w:pPr>
        <w:pStyle w:val="NoPaddingFontSize1"/>
      </w:pPr>
    </w:p>
    <w:p w:rsidR="001E455B" w:rsidP="00805B9E">
      <w:pPr>
        <w:pStyle w:val="NoPaddingFontSize1"/>
      </w:pPr>
    </w:p>
    <w:p w:rsidR="00000000" w:rsidRPr="00805B9E" w:rsidP="00805B9E">
      <w:pPr>
        <w:pStyle w:val="Heading1"/>
      </w:pPr>
      <w:bookmarkStart w:id="4" w:name="O_1194539"/>
      <w:bookmarkEnd w:id="4"/>
      <w:r w:rsidRPr="00805B9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5B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 w:rsidP="00805B9E">
            <w:pPr>
              <w:pStyle w:val="BodyText"/>
            </w:pPr>
            <w:r w:rsidRPr="00805B9E">
              <w:t>L – Resource Management.</w:t>
            </w:r>
          </w:p>
        </w:tc>
      </w:tr>
    </w:tbl>
    <w:p w:rsidR="001E455B" w:rsidP="00805B9E">
      <w:pPr>
        <w:pStyle w:val="NoPaddingFontSize1"/>
      </w:pPr>
    </w:p>
    <w:p w:rsidR="001E455B" w:rsidP="00805B9E">
      <w:pPr>
        <w:pStyle w:val="NoPaddingFontSize1"/>
      </w:pPr>
    </w:p>
    <w:p w:rsidR="00000000" w:rsidRPr="00805B9E" w:rsidP="00805B9E">
      <w:pPr>
        <w:pStyle w:val="Heading1"/>
      </w:pPr>
      <w:bookmarkStart w:id="5" w:name="O_1194540"/>
      <w:bookmarkEnd w:id="5"/>
      <w:r w:rsidRPr="00805B9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5B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 w:rsidP="00805B9E">
            <w:pPr>
              <w:pStyle w:val="BodyText"/>
            </w:pPr>
            <w:r w:rsidRPr="00805B9E">
              <w:t>Not applicable.</w:t>
            </w:r>
          </w:p>
        </w:tc>
      </w:tr>
    </w:tbl>
    <w:p w:rsidR="001E455B" w:rsidP="00805B9E">
      <w:pPr>
        <w:pStyle w:val="NoPaddingFontSize1"/>
      </w:pPr>
    </w:p>
    <w:p w:rsidR="001E455B" w:rsidP="00805B9E">
      <w:pPr>
        <w:pStyle w:val="NoPaddingFontSize1"/>
      </w:pPr>
    </w:p>
    <w:p w:rsidR="00000000" w:rsidRPr="00805B9E" w:rsidP="00805B9E">
      <w:pPr>
        <w:pStyle w:val="Heading1"/>
      </w:pPr>
      <w:bookmarkStart w:id="6" w:name="O_1194541"/>
      <w:bookmarkEnd w:id="6"/>
      <w:r w:rsidRPr="00805B9E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6"/>
        <w:gridCol w:w="2694"/>
        <w:gridCol w:w="718"/>
        <w:gridCol w:w="5852"/>
      </w:tblGrid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 w:rsidP="00805B9E">
            <w:pPr>
              <w:pStyle w:val="BodyText"/>
            </w:pPr>
            <w:r w:rsidRPr="00805B9E">
              <w:rPr>
                <w:rStyle w:val="SpecialBold"/>
              </w:rPr>
              <w:t>ELEMENTS</w:t>
            </w:r>
          </w:p>
        </w:tc>
        <w:tc>
          <w:tcPr>
            <w:tcW w:w="6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PERFORMANCE CRITERIA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Elements describe the essential outcomes.</w:t>
            </w:r>
          </w:p>
        </w:tc>
        <w:tc>
          <w:tcPr>
            <w:tcW w:w="6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Performance criteria describe the performance needed to demonstrate achievement of the element.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 w:rsidP="00805B9E">
            <w:pPr>
              <w:pStyle w:val="BodyText"/>
            </w:pPr>
            <w:r w:rsidRPr="00805B9E">
              <w:rPr>
                <w:rStyle w:val="SpecialBold"/>
              </w:rPr>
              <w:t>1</w:t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 w:rsidP="00805B9E">
            <w:pPr>
              <w:pStyle w:val="BodyText"/>
            </w:pPr>
            <w:r w:rsidRPr="00805B9E">
              <w:rPr>
                <w:rStyle w:val="SpecialBold"/>
              </w:rPr>
              <w:t xml:space="preserve">Identify and communicate agreed </w:t>
            </w:r>
            <w:r w:rsidRPr="00805B9E">
              <w:rPr>
                <w:rStyle w:val="SpecialBold"/>
              </w:rPr>
              <w:t>EEO strategies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1.1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EEO information and policy requirements are accessed for the workplace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1.2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EEO information is applied correctly to ensure relevant requirements are considered in workplace strategies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1.3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Support is provided to assist with consistent interpretation of EEO information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1.4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Negotiations are undertaken with management to ensure equity principles are understood throughout the workplace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1.5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Interpretation and advice are sought on legislativ</w:t>
            </w:r>
            <w:r w:rsidRPr="00805B9E">
              <w:t>e requirements, workplace objectives and constraints, and human resource management practices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 w:rsidP="00805B9E">
            <w:pPr>
              <w:pStyle w:val="BodyText"/>
            </w:pPr>
            <w:r w:rsidRPr="00805B9E">
              <w:rPr>
                <w:rStyle w:val="SpecialBold"/>
              </w:rPr>
              <w:t>2</w:t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 w:rsidP="00805B9E">
            <w:pPr>
              <w:pStyle w:val="BodyText"/>
            </w:pPr>
            <w:r w:rsidRPr="00805B9E">
              <w:rPr>
                <w:rStyle w:val="SpecialBold"/>
              </w:rPr>
              <w:t xml:space="preserve">Respond to EEO enquiries 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2.1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Relationship skills of listening and supporting are used when responding to enquiries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2.2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Enquiries are analysed to identify necessary information required to respond sufficiently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2.3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Inclusive language is incorporated in communications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2.4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Sources of information are identified and accessed to support response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2.5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Arrangements are made to ensure EEO support can be provided to personnel within necessary timeframes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2.6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Responses are confirmed and recorded clearly and appropriately in accordance with workplace policies and procedures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2.7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Responses are checked for</w:t>
            </w:r>
            <w:r w:rsidRPr="00805B9E">
              <w:t xml:space="preserve"> understanding and information is updated, as required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2.8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Situations are escalated, as required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2.9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Self-care strategies are implemented, as needed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2.10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Supervi</w:t>
            </w:r>
            <w:r w:rsidRPr="00805B9E">
              <w:t>sory support to mitigate transference of personal judgement related to workplace events is reviewed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 w:rsidP="00805B9E">
            <w:pPr>
              <w:pStyle w:val="BodyText"/>
            </w:pPr>
            <w:r w:rsidRPr="00805B9E">
              <w:rPr>
                <w:rStyle w:val="SpecialBold"/>
              </w:rPr>
              <w:t>3</w:t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 w:rsidP="00805B9E">
            <w:pPr>
              <w:pStyle w:val="BodyText"/>
            </w:pPr>
            <w:r w:rsidRPr="00805B9E">
              <w:rPr>
                <w:rStyle w:val="SpecialBold"/>
              </w:rPr>
              <w:t>Implement and monitor EEO strategies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3.1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Strategies are reviewed to ensure they suit the situation and support policies, procedures and objectives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3.2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Strategies are implemented in accordance with workplace policies and procedures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3.3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Outcomes are measured against best practice benchmarks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3.4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Effectiveness of strategies is monitored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3.5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Outcomes are recorded and shared with appropriate personne</w:t>
            </w:r>
            <w:r w:rsidRPr="00805B9E">
              <w:t>l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3.6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Follow-up is actioned within agreed timeframes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 w:rsidP="00805B9E">
            <w:pPr>
              <w:pStyle w:val="BodyText"/>
            </w:pPr>
            <w:r w:rsidRPr="00805B9E">
              <w:rPr>
                <w:rStyle w:val="SpecialBold"/>
              </w:rPr>
              <w:t>4</w:t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 w:rsidP="00805B9E">
            <w:pPr>
              <w:pStyle w:val="BodyText"/>
            </w:pPr>
            <w:r w:rsidRPr="00805B9E">
              <w:rPr>
                <w:rStyle w:val="SpecialBold"/>
              </w:rPr>
              <w:t>Contribute to EEO policy review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4.1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Contributions are made to policy review processes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4.2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Consultation is undertaken with a diverse mix of stakeholders for fair equity representation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4.3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Outcomes from the consultation activities are presented to appropriate personnel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4.4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Improvement to EEO policy is discussed and agreed to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 w:rsidP="00805B9E">
            <w:pPr>
              <w:pStyle w:val="BodyText"/>
            </w:pPr>
            <w:r w:rsidRPr="00805B9E">
              <w:rPr>
                <w:rStyle w:val="SpecialBold"/>
              </w:rPr>
              <w:t>5</w:t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 w:rsidP="00805B9E">
            <w:pPr>
              <w:pStyle w:val="BodyText"/>
            </w:pPr>
            <w:r w:rsidRPr="00805B9E">
              <w:rPr>
                <w:rStyle w:val="SpecialBold"/>
              </w:rPr>
              <w:t>Implement EEO policies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5.1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 xml:space="preserve">Stakeholder groups are organised to facilitate policy changes 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5.2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Feedback on the changes and impact to own work is obtained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5.3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Self-reflection of practices is encouraged in line with EEO policies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5.4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Development of strategies to implement the changes is supported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5.5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 xml:space="preserve">The impact of policy changes to work practices is monitored 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 w:rsidP="00805B9E">
            <w:pPr>
              <w:pStyle w:val="BodyText"/>
            </w:pPr>
            <w:r w:rsidRPr="00805B9E">
              <w:rPr>
                <w:rStyle w:val="SpecialBold"/>
              </w:rPr>
              <w:t>6</w:t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 w:rsidP="00805B9E">
            <w:pPr>
              <w:pStyle w:val="BodyText"/>
            </w:pPr>
            <w:r w:rsidRPr="00805B9E">
              <w:rPr>
                <w:rStyle w:val="SpecialBold"/>
              </w:rPr>
              <w:t>Evaluate and report on EEO policy implementation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6.1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Data used to measure EEO policy performance is collected and statistically analysed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6.2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Policy effectiveness and impact on workplace practices and culture is confirmed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6.3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t>Reports are produced on EEO policy and performance, as required</w:t>
            </w:r>
          </w:p>
        </w:tc>
      </w:tr>
      <w:tr w:rsidTr="00805B9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>
            <w:pPr>
              <w:pStyle w:val="BodyText"/>
              <w:keepLines w:val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9E">
            <w:pPr>
              <w:pStyle w:val="BodyText"/>
              <w:rPr>
                <w:lang w:val="en-NZ"/>
              </w:rPr>
            </w:pPr>
            <w:r w:rsidRPr="00805B9E">
              <w:rPr>
                <w:rStyle w:val="SpecialBold"/>
              </w:rPr>
              <w:t>6.4</w:t>
            </w:r>
          </w:p>
        </w:tc>
        <w:tc>
          <w:tcPr>
            <w:tcW w:w="5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 w:rsidP="00805B9E">
            <w:pPr>
              <w:pStyle w:val="BodyText"/>
            </w:pPr>
            <w:r w:rsidRPr="00805B9E">
              <w:t>Results of EEO strategies and performance are conveyed in a timely and appropriate way to relevant</w:t>
            </w:r>
            <w:r w:rsidRPr="00805B9E">
              <w:t xml:space="preserve"> stakeholders</w:t>
            </w:r>
          </w:p>
        </w:tc>
      </w:tr>
    </w:tbl>
    <w:p w:rsidR="001E455B" w:rsidP="00805B9E">
      <w:pPr>
        <w:pStyle w:val="NoPaddingFontSize1"/>
      </w:pPr>
    </w:p>
    <w:p w:rsidR="001E455B" w:rsidP="00805B9E">
      <w:pPr>
        <w:pStyle w:val="NoPaddingFontSize1"/>
      </w:pPr>
    </w:p>
    <w:p w:rsidR="00000000" w:rsidRPr="00805B9E" w:rsidP="00805B9E">
      <w:pPr>
        <w:pStyle w:val="Heading1"/>
      </w:pPr>
      <w:bookmarkStart w:id="7" w:name="O_1194542"/>
      <w:bookmarkEnd w:id="7"/>
      <w:r w:rsidRPr="00805B9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5B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 w:rsidP="00805B9E">
            <w:pPr>
              <w:pStyle w:val="BodyText"/>
            </w:pPr>
            <w:r w:rsidRPr="00805B9E">
              <w:t>Foundation skills essential to performance are explicit in the performance criteria of this unit of competency.</w:t>
            </w:r>
          </w:p>
        </w:tc>
      </w:tr>
    </w:tbl>
    <w:p w:rsidR="001E455B" w:rsidP="00805B9E">
      <w:pPr>
        <w:pStyle w:val="NoPaddingFontSize1"/>
      </w:pPr>
    </w:p>
    <w:p w:rsidR="001E455B" w:rsidP="00805B9E">
      <w:pPr>
        <w:pStyle w:val="NoPaddingFontSize1"/>
      </w:pPr>
    </w:p>
    <w:p w:rsidR="00000000" w:rsidRPr="00805B9E" w:rsidP="00805B9E">
      <w:pPr>
        <w:pStyle w:val="Heading1"/>
      </w:pPr>
      <w:bookmarkStart w:id="8" w:name="O_1194543"/>
      <w:bookmarkEnd w:id="8"/>
      <w:r w:rsidRPr="00805B9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5B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 w:rsidP="00805B9E">
            <w:pPr>
              <w:pStyle w:val="BodyText"/>
            </w:pPr>
            <w:r w:rsidRPr="00805B9E">
              <w:t>Range is restricted to essential operating conditions and any other variables essential to the work environment.</w:t>
            </w:r>
          </w:p>
          <w:p w:rsidR="00000000" w:rsidRPr="00805B9E" w:rsidP="00805B9E">
            <w:pPr>
              <w:pStyle w:val="BodyText"/>
            </w:pPr>
            <w:r w:rsidRPr="00805B9E">
              <w:t>Non-essential conditions can be found in the TLI Transport and Logistics Training Package Companion Volume Implementation Guide.</w:t>
            </w:r>
          </w:p>
        </w:tc>
      </w:tr>
    </w:tbl>
    <w:p w:rsidR="001E455B" w:rsidP="00805B9E">
      <w:pPr>
        <w:pStyle w:val="NoPaddingFontSize1"/>
      </w:pPr>
    </w:p>
    <w:p w:rsidR="001E455B" w:rsidP="00805B9E">
      <w:pPr>
        <w:pStyle w:val="NoPaddingFontSize1"/>
      </w:pPr>
    </w:p>
    <w:p w:rsidR="00000000" w:rsidRPr="00805B9E" w:rsidP="00805B9E">
      <w:pPr>
        <w:pStyle w:val="Heading1"/>
      </w:pPr>
      <w:bookmarkStart w:id="9" w:name="O_1194544"/>
      <w:bookmarkEnd w:id="9"/>
      <w:r w:rsidRPr="00805B9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5B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9E" w:rsidP="00805B9E">
            <w:pPr>
              <w:pStyle w:val="BodyText"/>
            </w:pPr>
            <w:r w:rsidRPr="00805B9E">
              <w:t>This unit replaces and is not equivalent to TLIL4032 Implement equal employment equity strategies.</w:t>
            </w:r>
          </w:p>
        </w:tc>
      </w:tr>
    </w:tbl>
    <w:p w:rsidR="001E455B" w:rsidP="00805B9E">
      <w:pPr>
        <w:pStyle w:val="NoPaddingFontSize1"/>
      </w:pPr>
    </w:p>
    <w:p w:rsidR="001E455B" w:rsidP="00805B9E">
      <w:pPr>
        <w:pStyle w:val="NoPaddingFontSize1"/>
      </w:pPr>
    </w:p>
    <w:p w:rsidR="00000000" w:rsidRPr="00805B9E" w:rsidP="00805B9E">
      <w:pPr>
        <w:pStyle w:val="Heading1"/>
      </w:pPr>
      <w:bookmarkStart w:id="10" w:name="O_1194551"/>
      <w:bookmarkEnd w:id="10"/>
      <w:r w:rsidRPr="00805B9E">
        <w:t>Links</w:t>
      </w:r>
    </w:p>
    <w:p w:rsidR="00000000" w:rsidRPr="00805B9E" w:rsidP="001E455B">
      <w:pPr>
        <w:pStyle w:val="BodyText"/>
      </w:pPr>
      <w:r w:rsidRPr="00805B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37EA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05B9E" w:rsidP="00805B9E"/>
    <w:sectPr w:rsidSect="00805B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B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B9E" w:rsidRPr="001E455B" w:rsidP="001E45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B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55B" w:rsidP="00805B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455B" w:rsidP="00805B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E455B" w:rsidP="00805B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B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5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5B9E" w:rsidRPr="001E455B" w:rsidP="001E45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B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55B" w:rsidRPr="002D2AF8" w:rsidP="00805B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TLIL0011 Implement equal employment opportunity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E455B" w:rsidP="00805B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5B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5B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5B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5B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5B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5B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5B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5B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5B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5B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5B9E"/>
  </w:style>
  <w:style w:type="character" w:customStyle="1" w:styleId="Heading1Char">
    <w:name w:val="Heading 1 Char"/>
    <w:basedOn w:val="DefaultParagraphFont"/>
    <w:link w:val="Heading1"/>
    <w:rsid w:val="00805B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5B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5B9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05B9E"/>
    <w:rPr>
      <w:b/>
      <w:spacing w:val="0"/>
    </w:rPr>
  </w:style>
  <w:style w:type="paragraph" w:customStyle="1" w:styleId="SuperHeading">
    <w:name w:val="SuperHeading"/>
    <w:basedOn w:val="Normal"/>
    <w:rsid w:val="00805B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5B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05B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5B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5B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5B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5B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5B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5B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5B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5B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5B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5B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5B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5B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5B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5B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5B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5B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5B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5B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5B9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5B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5B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5B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5B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5B9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5B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5B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5B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5B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5B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5B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5B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5B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5B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5B9E"/>
    <w:rPr>
      <w:i/>
    </w:rPr>
  </w:style>
  <w:style w:type="paragraph" w:styleId="Caption">
    <w:name w:val="caption"/>
    <w:basedOn w:val="BodyText"/>
    <w:next w:val="Normal"/>
    <w:qFormat/>
    <w:rsid w:val="00805B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5B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5B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5B9E"/>
  </w:style>
  <w:style w:type="paragraph" w:styleId="TableofFigures">
    <w:name w:val="table of figures"/>
    <w:basedOn w:val="Normal"/>
    <w:next w:val="Normal"/>
    <w:semiHidden/>
    <w:rsid w:val="00805B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5B9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05B9E"/>
    <w:rPr>
      <w:rFonts w:ascii="Wingdings" w:hAnsi="Wingdings"/>
    </w:rPr>
  </w:style>
  <w:style w:type="paragraph" w:customStyle="1" w:styleId="TableHeading">
    <w:name w:val="Table Heading"/>
    <w:basedOn w:val="HeadingBase"/>
    <w:rsid w:val="00805B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5B9E"/>
    <w:rPr>
      <w:color w:val="0033CC"/>
      <w:u w:val="none"/>
    </w:rPr>
  </w:style>
  <w:style w:type="paragraph" w:customStyle="1" w:styleId="BodyTextRight">
    <w:name w:val="Body Text Right"/>
    <w:basedOn w:val="BodyText"/>
    <w:rsid w:val="00805B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5B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5B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5B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5B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5B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5B9E"/>
    <w:rPr>
      <w:sz w:val="32"/>
    </w:rPr>
  </w:style>
  <w:style w:type="paragraph" w:customStyle="1" w:styleId="HeadingProcedure">
    <w:name w:val="Heading Procedure"/>
    <w:basedOn w:val="HeadingBase"/>
    <w:next w:val="Normal"/>
    <w:rsid w:val="00805B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5B9E"/>
    <w:pPr>
      <w:spacing w:before="60" w:after="60"/>
    </w:pPr>
  </w:style>
  <w:style w:type="paragraph" w:styleId="ListContinue">
    <w:name w:val="List Continue"/>
    <w:basedOn w:val="List"/>
    <w:rsid w:val="00805B9E"/>
    <w:pPr>
      <w:ind w:firstLine="0"/>
    </w:pPr>
  </w:style>
  <w:style w:type="paragraph" w:customStyle="1" w:styleId="ListNote">
    <w:name w:val="List Note"/>
    <w:basedOn w:val="List"/>
    <w:rsid w:val="00805B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5B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5B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5B9E"/>
    <w:rPr>
      <w:rFonts w:ascii="Courier New" w:hAnsi="Courier New"/>
    </w:rPr>
  </w:style>
  <w:style w:type="paragraph" w:customStyle="1" w:styleId="NoteBullet">
    <w:name w:val="Note Bullet"/>
    <w:basedOn w:val="Note"/>
    <w:rsid w:val="00805B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5B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5B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5B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5B9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05B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5B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5B9E"/>
    <w:rPr>
      <w:b/>
      <w:smallCaps/>
    </w:rPr>
  </w:style>
  <w:style w:type="paragraph" w:customStyle="1" w:styleId="TableListNumber">
    <w:name w:val="Table List Number"/>
    <w:basedOn w:val="ListNumber"/>
    <w:rsid w:val="00805B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5B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5B9E"/>
    <w:pPr>
      <w:numPr>
        <w:numId w:val="7"/>
      </w:numPr>
    </w:pPr>
  </w:style>
  <w:style w:type="paragraph" w:customStyle="1" w:styleId="ListAlpha2">
    <w:name w:val="List Alpha 2"/>
    <w:basedOn w:val="List2"/>
    <w:rsid w:val="00805B9E"/>
    <w:pPr>
      <w:numPr>
        <w:numId w:val="6"/>
      </w:numPr>
    </w:pPr>
  </w:style>
  <w:style w:type="paragraph" w:styleId="List2">
    <w:name w:val="List 2"/>
    <w:basedOn w:val="BodyText"/>
    <w:rsid w:val="00805B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5B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5B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5B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5B9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5B9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05B9E"/>
    <w:pPr>
      <w:numPr>
        <w:numId w:val="2"/>
      </w:numPr>
    </w:pPr>
  </w:style>
  <w:style w:type="paragraph" w:styleId="ListContinue2">
    <w:name w:val="List Continue 2"/>
    <w:basedOn w:val="List2"/>
    <w:rsid w:val="00805B9E"/>
    <w:pPr>
      <w:ind w:firstLine="0"/>
    </w:pPr>
  </w:style>
  <w:style w:type="paragraph" w:styleId="ListContinue3">
    <w:name w:val="List Continue 3"/>
    <w:basedOn w:val="List3"/>
    <w:rsid w:val="00805B9E"/>
    <w:pPr>
      <w:ind w:left="1021" w:firstLine="0"/>
    </w:pPr>
  </w:style>
  <w:style w:type="paragraph" w:styleId="ListContinue4">
    <w:name w:val="List Continue 4"/>
    <w:basedOn w:val="List4"/>
    <w:rsid w:val="00805B9E"/>
    <w:pPr>
      <w:ind w:firstLine="0"/>
    </w:pPr>
  </w:style>
  <w:style w:type="paragraph" w:styleId="ListContinue5">
    <w:name w:val="List Continue 5"/>
    <w:basedOn w:val="List5"/>
    <w:rsid w:val="00805B9E"/>
    <w:pPr>
      <w:ind w:firstLine="0"/>
    </w:pPr>
  </w:style>
  <w:style w:type="paragraph" w:styleId="ListNumber3">
    <w:name w:val="List Number 3"/>
    <w:basedOn w:val="List3"/>
    <w:rsid w:val="00805B9E"/>
    <w:pPr>
      <w:numPr>
        <w:numId w:val="3"/>
      </w:numPr>
    </w:pPr>
  </w:style>
  <w:style w:type="paragraph" w:styleId="ListNumber4">
    <w:name w:val="List Number 4"/>
    <w:basedOn w:val="List4"/>
    <w:rsid w:val="00805B9E"/>
    <w:pPr>
      <w:numPr>
        <w:numId w:val="4"/>
      </w:numPr>
    </w:pPr>
  </w:style>
  <w:style w:type="paragraph" w:styleId="ListNumber5">
    <w:name w:val="List Number 5"/>
    <w:basedOn w:val="List5"/>
    <w:rsid w:val="00805B9E"/>
    <w:pPr>
      <w:numPr>
        <w:numId w:val="5"/>
      </w:numPr>
    </w:pPr>
  </w:style>
  <w:style w:type="paragraph" w:styleId="BlockText">
    <w:name w:val="Block Text"/>
    <w:basedOn w:val="Normal"/>
    <w:rsid w:val="00805B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5B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5B9E"/>
    <w:rPr>
      <w:sz w:val="16"/>
      <w:vertAlign w:val="superscript"/>
    </w:rPr>
  </w:style>
  <w:style w:type="character" w:customStyle="1" w:styleId="Symbols">
    <w:name w:val="Symbols"/>
    <w:basedOn w:val="DefaultParagraphFont"/>
    <w:rsid w:val="00805B9E"/>
    <w:rPr>
      <w:rFonts w:ascii="Symbol" w:hAnsi="Symbol"/>
    </w:rPr>
  </w:style>
  <w:style w:type="character" w:customStyle="1" w:styleId="MenuOptions">
    <w:name w:val="Menu Options"/>
    <w:basedOn w:val="DefaultParagraphFont"/>
    <w:rsid w:val="00805B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5B9E"/>
    <w:rPr>
      <w:b/>
    </w:rPr>
  </w:style>
  <w:style w:type="character" w:customStyle="1" w:styleId="Underlined">
    <w:name w:val="Underlined"/>
    <w:basedOn w:val="DefaultParagraphFont"/>
    <w:rsid w:val="00805B9E"/>
    <w:rPr>
      <w:u w:val="single"/>
    </w:rPr>
  </w:style>
  <w:style w:type="paragraph" w:customStyle="1" w:styleId="TableBodyTextRight">
    <w:name w:val="Table Body Text Right"/>
    <w:basedOn w:val="TableBodyText"/>
    <w:rsid w:val="00805B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5B9E"/>
    <w:rPr>
      <w:sz w:val="18"/>
    </w:rPr>
  </w:style>
  <w:style w:type="paragraph" w:customStyle="1" w:styleId="BodySmallRight">
    <w:name w:val="Body Small Right"/>
    <w:basedOn w:val="BodyTextRight"/>
    <w:rsid w:val="00805B9E"/>
    <w:rPr>
      <w:sz w:val="18"/>
      <w:szCs w:val="18"/>
    </w:rPr>
  </w:style>
  <w:style w:type="paragraph" w:customStyle="1" w:styleId="MarginEdition">
    <w:name w:val="Margin Edition"/>
    <w:basedOn w:val="MarginNote"/>
    <w:rsid w:val="00805B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5B9E"/>
    <w:rPr>
      <w:sz w:val="2"/>
      <w:szCs w:val="2"/>
    </w:rPr>
  </w:style>
  <w:style w:type="character" w:customStyle="1" w:styleId="Small">
    <w:name w:val="Small"/>
    <w:basedOn w:val="DefaultParagraphFont"/>
    <w:rsid w:val="00805B9E"/>
    <w:rPr>
      <w:sz w:val="16"/>
    </w:rPr>
  </w:style>
  <w:style w:type="paragraph" w:customStyle="1" w:styleId="WideTable">
    <w:name w:val="Wide Table"/>
    <w:basedOn w:val="Normal"/>
    <w:rsid w:val="00805B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5B9E"/>
  </w:style>
  <w:style w:type="paragraph" w:styleId="Quote">
    <w:name w:val="Quote"/>
    <w:basedOn w:val="Heading1"/>
    <w:link w:val="QuoteChar"/>
    <w:qFormat/>
    <w:rsid w:val="00805B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5B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5B9E"/>
    <w:pPr>
      <w:pageBreakBefore/>
    </w:pPr>
  </w:style>
  <w:style w:type="paragraph" w:customStyle="1" w:styleId="Border">
    <w:name w:val="Border"/>
    <w:basedOn w:val="Normal"/>
    <w:qFormat/>
    <w:rsid w:val="00805B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5B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B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B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5B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5B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5B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5B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5B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5B9E"/>
    <w:rPr>
      <w:u w:val="single"/>
    </w:rPr>
  </w:style>
  <w:style w:type="character" w:customStyle="1" w:styleId="BoldandItalics">
    <w:name w:val="Bold and Italics"/>
    <w:qFormat/>
    <w:rsid w:val="00805B9E"/>
    <w:rPr>
      <w:b/>
      <w:i/>
      <w:u w:val="none"/>
    </w:rPr>
  </w:style>
  <w:style w:type="paragraph" w:styleId="BalloonText">
    <w:name w:val="Balloon Text"/>
    <w:basedOn w:val="Normal"/>
    <w:link w:val="BalloonTextChar"/>
    <w:rsid w:val="00805B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5B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5B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5B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5B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5B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5B9E"/>
    <w:pPr>
      <w:spacing w:before="0" w:after="0"/>
    </w:pPr>
  </w:style>
  <w:style w:type="paragraph" w:customStyle="1" w:styleId="BodyTextBold">
    <w:name w:val="Body Text Bold"/>
    <w:basedOn w:val="BodyText"/>
    <w:qFormat/>
    <w:rsid w:val="00805B9E"/>
    <w:rPr>
      <w:b/>
    </w:rPr>
  </w:style>
  <w:style w:type="character" w:styleId="Hyperlink">
    <w:name w:val="Hyperlink"/>
    <w:basedOn w:val="DefaultParagraphFont"/>
    <w:uiPriority w:val="99"/>
    <w:unhideWhenUsed/>
    <w:rsid w:val="001E45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721</Words>
  <Characters>4494</Characters>
  <Application>Microsoft Office Word</Application>
  <DocSecurity>0</DocSecurity>
  <Lines>249</Lines>
  <Paragraphs>133</Paragraphs>
  <ScaleCrop>false</ScaleCrop>
  <Company>Author-it Software Corporation Ltd.</Company>
  <LinksUpToDate>false</LinksUpToDate>
  <CharactersWithSpaces>5082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TLIL0011 Implement equal employment opportunity strategies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2024-07-12T07:47:00Z</dcterms:created>
  <dcterms:modified xsi:type="dcterms:W3CDTF">2024-07-12T07:47:00Z</dcterms:modified>
</cp:coreProperties>
</file>