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979" w:rsidP="00B909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TLIL0011 Implement equal employment opportunity strategies</w:t>
      </w:r>
      <w:r>
        <w:fldChar w:fldCharType="end"/>
      </w:r>
    </w:p>
    <w:p w:rsidR="00B90979" w:rsidP="00B90979">
      <w:pPr>
        <w:pStyle w:val="Version"/>
        <w:sectPr w:rsidSect="00FD1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0E2" w:rsidP="00FD10E2">
      <w:pPr>
        <w:pStyle w:val="SuperHeading"/>
      </w:pPr>
      <w:r w:rsidRPr="00FD10E2">
        <w:t>TLIL0011 Implement equal employment opportunity strategies</w:t>
      </w:r>
    </w:p>
    <w:p w:rsidR="00000000" w:rsidRPr="00FD10E2" w:rsidP="00FD10E2">
      <w:pPr>
        <w:pStyle w:val="Heading1"/>
      </w:pPr>
      <w:bookmarkStart w:id="1" w:name="O_1194536"/>
      <w:bookmarkEnd w:id="1"/>
      <w:r w:rsidRPr="00FD10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Release 1.</w:t>
            </w:r>
            <w:r w:rsidRPr="00FD10E2">
              <w:t xml:space="preserve"> This is the first release of this unit of competency in the TLI Transport and Logistics Training Package.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2" w:name="O_1194537"/>
      <w:bookmarkEnd w:id="2"/>
      <w:r w:rsidRPr="00FD10E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t xml:space="preserve">This unit involves the skills and knowledge required to implement </w:t>
            </w:r>
            <w:r w:rsidRPr="00FD10E2">
              <w:t>equal employment opportunity (EEO) strategies.</w:t>
            </w:r>
          </w:p>
          <w:p w:rsidR="00000000" w:rsidRPr="00FD10E2" w:rsidP="00FD10E2">
            <w:pPr>
              <w:pStyle w:val="BodyText"/>
            </w:pPr>
            <w:r w:rsidRPr="00FD10E2">
              <w:t>It includes identifying and communicating agreed EEO strategies, responding to EEO enquiries, implementing and monitoring EEO strategies, and contributing to EEO policy reviews. It also includes implementing E</w:t>
            </w:r>
            <w:r w:rsidRPr="00FD10E2">
              <w:t>EO policies, and evaluating and reporting on the implementation of EEO strategies in the workplace in accordance with regulatory and workplace requirements.</w:t>
            </w:r>
          </w:p>
          <w:p w:rsidR="00000000" w:rsidRPr="00FD10E2" w:rsidP="00FD10E2">
            <w:pPr>
              <w:pStyle w:val="BodyText"/>
            </w:pPr>
            <w:r w:rsidRPr="00FD10E2">
              <w:t>While work is performed individually the ability to work within a team environment may be required.</w:t>
            </w:r>
          </w:p>
          <w:p w:rsidR="00000000" w:rsidRPr="00FD10E2" w:rsidP="00FD10E2">
            <w:pPr>
              <w:pStyle w:val="BodyText"/>
            </w:pPr>
            <w:r w:rsidRPr="00FD10E2">
              <w:t>No licensing, legislative or certification requirements apply to this unit at the time of publication.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3" w:name="O_1194538"/>
      <w:bookmarkEnd w:id="3"/>
      <w:r w:rsidRPr="00FD10E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t>Not applicable.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4" w:name="O_1194539"/>
      <w:bookmarkEnd w:id="4"/>
      <w:r w:rsidRPr="00FD10E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t>L – Resource Management.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5" w:name="O_1194540"/>
      <w:bookmarkEnd w:id="5"/>
      <w:r w:rsidRPr="00FD10E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t>Not applicable.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6" w:name="O_1194541"/>
      <w:bookmarkEnd w:id="6"/>
      <w:r w:rsidRPr="00FD10E2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694"/>
        <w:gridCol w:w="718"/>
        <w:gridCol w:w="5852"/>
      </w:tblGrid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ELEMENTS</w:t>
            </w: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PERFORMANCE CRITERIA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Elements describe the essential outcomes.</w:t>
            </w: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Performance criteria describe the performance needed to demonstrate achievement of the element.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1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 xml:space="preserve">Identify and communicate agreed </w:t>
            </w:r>
            <w:r w:rsidRPr="00FD10E2">
              <w:rPr>
                <w:rStyle w:val="SpecialBold"/>
              </w:rPr>
              <w:t>EEO strategies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1.1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EEO information and policy requirements are accessed for the workplace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1.2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EEO information is applied correctly to ensure relevant requirements are considered in workplace strategies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1.3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Support is provided to assist with consistent interpretation of EEO information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1.4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Negotiations are undertaken with management to ensure equity principles are understood throughout the workplace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1.5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Interpretation and advice are sought on legislativ</w:t>
            </w:r>
            <w:r w:rsidRPr="00FD10E2">
              <w:t>e requirements, workplace objectives and constraints, and human resource management practices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2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 xml:space="preserve">Respond to EEO enquiries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2.1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Relationship skills of listening and supporting are used when responding to enquiries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2.2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Enquiries are analysed to identify necessary information required to respond sufficiently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2.3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Inclusive language is incorporated in communications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2.4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Sources of information are identified and accessed to support response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2.5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Arrangements are made to ensure EEO support can be provided to personnel within necessary timeframes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2.6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Responses are confirmed and recorded clearly and appropriately in accordance with workplace policies and procedures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2.7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Responses are checked for</w:t>
            </w:r>
            <w:r w:rsidRPr="00FD10E2">
              <w:t xml:space="preserve"> understanding and information is updated, as required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2.8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Situations are escalated, as required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2.9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Self-care strategies are implemented, as needed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2.10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Supervisory support to mitigate transference of personal judgement related to workplace events is reviewed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3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Implement and monitor EEO strategies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3.1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Strategies are reviewed to ensure they suit the situation and support policies, procedures and objectives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3.2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Strategies are implemented in accordance with workplace policies and procedures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3.3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Outcomes are measured against best practice benchmarks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3.4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Effectiveness of strategies is monitored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3.5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Outcomes are recorded and shared with appropriate personnel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3.6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Follow-up is actioned within agreed timeframes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4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Contribute to EEO policy review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4.1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Contributions are made to policy review processes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4.2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Consultation is undertaken with a diverse mix of stakeholders for fair equity representation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4.3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Outcomes from the consultation activities are presented to appropriate personnel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4.4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Improvement to EEO policy is discussed and agreed to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5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Implement EEO policies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5.1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 xml:space="preserve">Stakeholder groups are organised to facilitate policy changes 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5.2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Feedback on the changes and impact to own work is obtained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5.3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Self-reflection of practices is encouraged in line with EEO policies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5.4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Development of strategies to implement the changes is supported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5.5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 xml:space="preserve">The impact of policy changes to work practices is monitored 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6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Evaluate and report on EEO policy implementation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6.1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Data used to measure EEO policy performance is collected and statist</w:t>
            </w:r>
            <w:r w:rsidRPr="00FD10E2">
              <w:t>ically analysed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6.2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Policy effectiveness and impact on workplace practices and culture is confirmed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6.3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Reports are produced on EEO policy and performance, as required</w:t>
            </w:r>
          </w:p>
        </w:tc>
      </w:tr>
      <w:tr w:rsidTr="00FD10E2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rPr>
                <w:rStyle w:val="SpecialBold"/>
              </w:rPr>
              <w:t>6.4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t>Results of EEO strategies and performance are conveyed in a timely and appropriate way to relevant stakeholders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7" w:name="O_1194542"/>
      <w:bookmarkEnd w:id="7"/>
      <w:r w:rsidRPr="00FD10E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t>Foundation skills essential to performance are explicit in the performance criteria of this unit of competency.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8" w:name="O_1194543"/>
      <w:bookmarkEnd w:id="8"/>
      <w:r w:rsidRPr="00FD10E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t>Range is restricted to essential operating conditions and any other variables essential to the work environment.</w:t>
            </w:r>
          </w:p>
          <w:p w:rsidR="00000000" w:rsidRPr="00FD10E2" w:rsidP="00FD10E2">
            <w:pPr>
              <w:pStyle w:val="BodyText"/>
            </w:pPr>
            <w:r w:rsidRPr="00FD10E2">
              <w:t>Non-essential conditions can be found in the TLI Transport and Logistics Training Package Companion Volume Implementation Guide.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9" w:name="O_1194544"/>
      <w:bookmarkEnd w:id="9"/>
      <w:r w:rsidRPr="00FD10E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t>This unit replaces and is not equivalent to TLIL4032 Implement equal employment equity strategies.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10" w:name="O_1194551"/>
      <w:bookmarkEnd w:id="10"/>
      <w:r w:rsidRPr="00FD10E2">
        <w:t>Links</w:t>
      </w:r>
    </w:p>
    <w:p w:rsidR="00000000" w:rsidRPr="00FD10E2" w:rsidP="00B90979">
      <w:pPr>
        <w:pStyle w:val="BodyText"/>
      </w:pPr>
      <w:r w:rsidRPr="00FD1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06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10E2" w:rsidP="00B90979">
      <w:pPr>
        <w:pStyle w:val="BodyText"/>
        <w:sectPr w:rsidSect="00FD10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0E2" w:rsidP="00FD10E2">
      <w:pPr>
        <w:pStyle w:val="SuperHeading"/>
      </w:pPr>
      <w:r w:rsidRPr="00FD10E2">
        <w:t>Assessment Requirements for TLIL0011 Implement equal employment opportunity strategies</w:t>
      </w:r>
    </w:p>
    <w:p w:rsidR="00000000" w:rsidRPr="00FD10E2" w:rsidP="00FD10E2">
      <w:pPr>
        <w:pStyle w:val="Heading1"/>
      </w:pPr>
      <w:bookmarkStart w:id="11" w:name="O_1194546"/>
      <w:bookmarkEnd w:id="11"/>
      <w:r w:rsidRPr="00FD10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rPr>
                <w:rStyle w:val="SpecialBold"/>
              </w:rPr>
              <w:t>Release 1.</w:t>
            </w:r>
            <w:r w:rsidRPr="00FD10E2">
              <w:t xml:space="preserve"> This is the first rel</w:t>
            </w:r>
            <w:r w:rsidRPr="00FD10E2">
              <w:t>ease of this unit of competency in the TLI Transport and Logistics Training Package.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12" w:name="O_1194547"/>
      <w:bookmarkEnd w:id="12"/>
      <w:r w:rsidRPr="00FD10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ListBullet"/>
            </w:pPr>
            <w:r w:rsidRPr="00FD10E2">
              <w:t>applying relevant legislation and workplace procedures</w:t>
            </w:r>
          </w:p>
          <w:p w:rsidR="00000000" w:rsidRPr="00FD10E2" w:rsidP="00FD10E2">
            <w:pPr>
              <w:pStyle w:val="ListBullet"/>
            </w:pPr>
            <w:r w:rsidRPr="00FD10E2">
              <w:t>collecting</w:t>
            </w:r>
            <w:r w:rsidRPr="00FD10E2">
              <w:t xml:space="preserve"> data and analysing information</w:t>
            </w:r>
          </w:p>
          <w:p w:rsidR="00000000" w:rsidRPr="00FD10E2" w:rsidP="00FD10E2">
            <w:pPr>
              <w:pStyle w:val="ListBullet"/>
            </w:pPr>
            <w:r w:rsidRPr="00FD10E2">
              <w:t>communicating and working effectively with others when implementing equal employment opportunity (EEO) policy and strategies</w:t>
            </w:r>
          </w:p>
          <w:p w:rsidR="00000000" w:rsidRPr="00FD10E2" w:rsidP="00FD10E2">
            <w:pPr>
              <w:pStyle w:val="ListBullet"/>
            </w:pPr>
            <w:r w:rsidRPr="00FD10E2">
              <w:t>completing documentation</w:t>
            </w:r>
          </w:p>
          <w:p w:rsidR="00000000" w:rsidRPr="00FD10E2" w:rsidP="00FD10E2">
            <w:pPr>
              <w:pStyle w:val="ListBullet"/>
            </w:pPr>
            <w:r w:rsidRPr="00FD10E2">
              <w:t xml:space="preserve">demonstrating non-discriminatory behaviour </w:t>
            </w:r>
          </w:p>
          <w:p w:rsidR="00000000" w:rsidRPr="00FD10E2" w:rsidP="00FD10E2">
            <w:pPr>
              <w:pStyle w:val="ListBullet"/>
            </w:pPr>
            <w:r w:rsidRPr="00FD10E2">
              <w:t>implementing relevant policies</w:t>
            </w:r>
            <w:r w:rsidRPr="00FD10E2">
              <w:t>, procedures and strategies</w:t>
            </w:r>
          </w:p>
          <w:p w:rsidR="00000000" w:rsidRPr="00FD10E2" w:rsidP="00FD10E2">
            <w:pPr>
              <w:pStyle w:val="ListBullet"/>
            </w:pPr>
            <w:r w:rsidRPr="00FD10E2">
              <w:t>implementing support strategies with stakeholders</w:t>
            </w:r>
          </w:p>
          <w:p w:rsidR="00000000" w:rsidRPr="00FD10E2" w:rsidP="00FD10E2">
            <w:pPr>
              <w:pStyle w:val="ListBullet"/>
            </w:pPr>
            <w:r w:rsidRPr="00FD10E2">
              <w:t>maintaining EEO communication and inclusive language throughout the workplace</w:t>
            </w:r>
          </w:p>
          <w:p w:rsidR="00000000" w:rsidRPr="00FD10E2" w:rsidP="00FD10E2">
            <w:pPr>
              <w:pStyle w:val="ListBullet"/>
            </w:pPr>
            <w:r w:rsidRPr="00FD10E2">
              <w:t>monitoring and prioritising work activities without discriminating against personnel</w:t>
            </w:r>
          </w:p>
          <w:p w:rsidR="00000000" w:rsidRPr="00FD10E2" w:rsidP="00FD10E2">
            <w:pPr>
              <w:pStyle w:val="ListBullet"/>
            </w:pPr>
            <w:r w:rsidRPr="00FD10E2">
              <w:t>providing negot</w:t>
            </w:r>
            <w:r w:rsidRPr="00FD10E2">
              <w:t>iation/discussion records</w:t>
            </w:r>
          </w:p>
          <w:p w:rsidR="00000000" w:rsidRPr="00FD10E2" w:rsidP="00FD10E2">
            <w:pPr>
              <w:pStyle w:val="ListBullet"/>
            </w:pPr>
            <w:r w:rsidRPr="00FD10E2">
              <w:t>reading, interpreting and following relevant instructions, procedures, policies, conditions of employment, industrial agreements and legislative requirements</w:t>
            </w:r>
          </w:p>
          <w:p w:rsidR="00000000" w:rsidRPr="00FD10E2" w:rsidP="00FD10E2">
            <w:pPr>
              <w:pStyle w:val="ListBullet"/>
            </w:pPr>
            <w:r w:rsidRPr="00FD10E2">
              <w:t>reporting problems an</w:t>
            </w:r>
            <w:r w:rsidRPr="00FD10E2">
              <w:t>d supporting with the identification of strategies in accordance with regulatory requirements and workplace policies and procedures</w:t>
            </w:r>
          </w:p>
          <w:p w:rsidR="00000000" w:rsidRPr="00FD10E2" w:rsidP="00FD10E2">
            <w:pPr>
              <w:pStyle w:val="ListBullet"/>
            </w:pPr>
            <w:r w:rsidRPr="00FD10E2">
              <w:t>supporting employees with EEO matters</w:t>
            </w:r>
          </w:p>
          <w:p w:rsidR="00000000" w:rsidRPr="00FD10E2" w:rsidP="00FD10E2">
            <w:pPr>
              <w:pStyle w:val="ListBullet"/>
            </w:pPr>
            <w:r w:rsidRPr="00FD10E2">
              <w:t>working systematically with required attention to detail</w:t>
            </w:r>
          </w:p>
          <w:p w:rsidR="00000000" w:rsidRPr="00FD10E2" w:rsidP="00FD10E2">
            <w:pPr>
              <w:pStyle w:val="ListBullet"/>
            </w:pPr>
            <w:r w:rsidRPr="00FD10E2">
              <w:t>writing reports.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13" w:name="O_1194548"/>
      <w:bookmarkEnd w:id="13"/>
      <w:r w:rsidRPr="00FD10E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E2">
            <w:pPr>
              <w:pStyle w:val="BodyText"/>
              <w:rPr>
                <w:lang w:val="en-NZ"/>
              </w:rPr>
            </w:pPr>
            <w:r w:rsidRPr="00FD10E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ListBullet"/>
            </w:pPr>
            <w:r w:rsidRPr="00FD10E2">
              <w:t>documentation and reporting requirements for implementing EEO strategies</w:t>
            </w:r>
          </w:p>
          <w:p w:rsidR="00000000" w:rsidRPr="00FD10E2" w:rsidP="00FD10E2">
            <w:pPr>
              <w:pStyle w:val="ListBullet"/>
            </w:pPr>
            <w:r w:rsidRPr="00FD10E2">
              <w:t>elements of workplace operations relevant to implementing EEO strategies, including:</w:t>
            </w:r>
          </w:p>
          <w:p w:rsidR="00000000" w:rsidRPr="00FD10E2" w:rsidP="00FD10E2">
            <w:pPr>
              <w:pStyle w:val="ListBullet2"/>
            </w:pPr>
            <w:r w:rsidRPr="00FD10E2">
              <w:t>benchmarking and strategy development</w:t>
            </w:r>
          </w:p>
          <w:p w:rsidR="00000000" w:rsidRPr="00FD10E2" w:rsidP="00FD10E2">
            <w:pPr>
              <w:pStyle w:val="ListBullet2"/>
            </w:pPr>
            <w:r w:rsidRPr="00FD10E2">
              <w:t>communication, consultation and negotiation principles</w:t>
            </w:r>
          </w:p>
          <w:p w:rsidR="00000000" w:rsidRPr="00FD10E2" w:rsidP="00FD10E2">
            <w:pPr>
              <w:pStyle w:val="ListBullet2"/>
            </w:pPr>
            <w:r w:rsidRPr="00FD10E2">
              <w:t>conf</w:t>
            </w:r>
            <w:r w:rsidRPr="00FD10E2">
              <w:t>lict resolution principles and practices</w:t>
            </w:r>
          </w:p>
          <w:p w:rsidR="00000000" w:rsidRPr="00FD10E2" w:rsidP="00FD10E2">
            <w:pPr>
              <w:pStyle w:val="ListBullet2"/>
            </w:pPr>
            <w:r w:rsidRPr="00FD10E2">
              <w:t>data analysis</w:t>
            </w:r>
          </w:p>
          <w:p w:rsidR="00000000" w:rsidRPr="00FD10E2" w:rsidP="00FD10E2">
            <w:pPr>
              <w:pStyle w:val="ListBullet2"/>
            </w:pPr>
            <w:r w:rsidRPr="00FD10E2">
              <w:t>emotional intelligence principles</w:t>
            </w:r>
          </w:p>
          <w:p w:rsidR="00000000" w:rsidRPr="00FD10E2" w:rsidP="00FD10E2">
            <w:pPr>
              <w:pStyle w:val="ListBullet2"/>
            </w:pPr>
            <w:r w:rsidRPr="00FD10E2">
              <w:t>industrial awards and enterprise agreements</w:t>
            </w:r>
          </w:p>
          <w:p w:rsidR="00000000" w:rsidRPr="00FD10E2" w:rsidP="00FD10E2">
            <w:pPr>
              <w:pStyle w:val="ListBullet2"/>
            </w:pPr>
            <w:r w:rsidRPr="00FD10E2">
              <w:t>personal wellbeing</w:t>
            </w:r>
          </w:p>
          <w:p w:rsidR="00000000" w:rsidRPr="00FD10E2" w:rsidP="00FD10E2">
            <w:pPr>
              <w:pStyle w:val="ListBullet2"/>
            </w:pPr>
            <w:r w:rsidRPr="00FD10E2">
              <w:t>privacy principles</w:t>
            </w:r>
          </w:p>
          <w:p w:rsidR="00000000" w:rsidRPr="00FD10E2" w:rsidP="00FD10E2">
            <w:pPr>
              <w:pStyle w:val="ListBullet2"/>
            </w:pPr>
            <w:r w:rsidRPr="00FD10E2">
              <w:t>problem solving</w:t>
            </w:r>
          </w:p>
          <w:p w:rsidR="00000000" w:rsidRPr="00FD10E2" w:rsidP="00FD10E2">
            <w:pPr>
              <w:pStyle w:val="ListBullet2"/>
            </w:pPr>
            <w:r w:rsidRPr="00FD10E2">
              <w:t>relationship skills, including listening and support</w:t>
            </w:r>
          </w:p>
          <w:p w:rsidR="00000000" w:rsidRPr="00FD10E2" w:rsidP="00FD10E2">
            <w:pPr>
              <w:pStyle w:val="ListBullet2"/>
            </w:pPr>
            <w:r w:rsidRPr="00FD10E2">
              <w:t>report writing</w:t>
            </w:r>
          </w:p>
          <w:p w:rsidR="00000000" w:rsidRPr="00FD10E2" w:rsidP="00FD10E2">
            <w:pPr>
              <w:pStyle w:val="ListBullet2"/>
            </w:pPr>
            <w:r w:rsidRPr="00FD10E2">
              <w:t>support options for referral and referral processes</w:t>
            </w:r>
          </w:p>
          <w:p w:rsidR="00000000" w:rsidRPr="00FD10E2" w:rsidP="00FD10E2">
            <w:pPr>
              <w:pStyle w:val="ListBullet2"/>
            </w:pPr>
            <w:r w:rsidRPr="00FD10E2">
              <w:t>workplace delegations</w:t>
            </w:r>
          </w:p>
          <w:p w:rsidR="00000000" w:rsidRPr="00FD10E2" w:rsidP="00FD10E2">
            <w:pPr>
              <w:pStyle w:val="ListBullet"/>
            </w:pPr>
            <w:r w:rsidRPr="00FD10E2">
              <w:t>grievance policies</w:t>
            </w:r>
          </w:p>
          <w:p w:rsidR="00000000" w:rsidRPr="00FD10E2" w:rsidP="00FD10E2">
            <w:pPr>
              <w:pStyle w:val="ListBullet"/>
            </w:pPr>
            <w:r w:rsidRPr="00FD10E2">
              <w:t>preventative strategies and inclusive practices</w:t>
            </w:r>
          </w:p>
          <w:p w:rsidR="00000000" w:rsidRPr="00FD10E2" w:rsidP="00FD10E2">
            <w:pPr>
              <w:pStyle w:val="ListBullet"/>
            </w:pPr>
            <w:r w:rsidRPr="00FD10E2">
              <w:t>relevant EEO regulations</w:t>
            </w:r>
          </w:p>
          <w:p w:rsidR="00000000" w:rsidRPr="00FD10E2" w:rsidP="00FD10E2">
            <w:pPr>
              <w:pStyle w:val="ListBullet"/>
            </w:pPr>
            <w:r w:rsidRPr="00FD10E2">
              <w:t>workplace policies and procedures for implementing EEO strategies, including employee ass</w:t>
            </w:r>
            <w:r w:rsidRPr="00FD10E2">
              <w:t>istance programs.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14" w:name="O_1194549"/>
      <w:bookmarkEnd w:id="14"/>
      <w:r w:rsidRPr="00FD10E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0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E2" w:rsidP="00FD10E2">
            <w:pPr>
              <w:pStyle w:val="BodyText"/>
            </w:pPr>
            <w:r w:rsidRPr="00FD10E2">
              <w:t xml:space="preserve">Assessors must hold credentials specified within the Standards for Registered Training Organisations current at the time of assessment. </w:t>
            </w:r>
          </w:p>
          <w:p w:rsidR="00000000" w:rsidRPr="00FD10E2" w:rsidP="00FD10E2">
            <w:pPr>
              <w:pStyle w:val="BodyText"/>
            </w:pPr>
            <w:r w:rsidRPr="00FD10E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D10E2" w:rsidP="00FD10E2">
            <w:pPr>
              <w:pStyle w:val="BodyText"/>
            </w:pPr>
            <w:r w:rsidRPr="00FD10E2">
              <w:t>Assessment must occur in workplace operational</w:t>
            </w:r>
            <w:r w:rsidRPr="00FD10E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D10E2" w:rsidP="00FD10E2">
            <w:pPr>
              <w:pStyle w:val="BodyText"/>
            </w:pPr>
            <w:r w:rsidRPr="00FD10E2">
              <w:t>Assessment processes and techniques must be appropriate to the language, l</w:t>
            </w:r>
            <w:r w:rsidRPr="00FD10E2">
              <w:t>iteracy and numeracy requirements of the work being performed and the needs of the candidate.</w:t>
            </w:r>
          </w:p>
          <w:p w:rsidR="00000000" w:rsidRPr="00FD10E2" w:rsidP="00FD10E2">
            <w:pPr>
              <w:pStyle w:val="BodyText"/>
            </w:pPr>
            <w:r w:rsidRPr="00FD10E2">
              <w:t>Resources for assessment must include access to:</w:t>
            </w:r>
          </w:p>
          <w:p w:rsidR="00000000" w:rsidRPr="00FD10E2" w:rsidP="00FD10E2">
            <w:pPr>
              <w:pStyle w:val="ListBullet2"/>
            </w:pPr>
            <w:r w:rsidRPr="00FD10E2">
              <w:t>a range of relevant exercises, case studies and/or simulations</w:t>
            </w:r>
          </w:p>
          <w:p w:rsidR="00000000" w:rsidRPr="00FD10E2" w:rsidP="00FD10E2">
            <w:pPr>
              <w:pStyle w:val="ListBullet2"/>
            </w:pPr>
            <w:r w:rsidRPr="00FD10E2">
              <w:t>relevant and appropriate materials, tools, equipment and personal protective equipment (PPE) currently used in industry</w:t>
            </w:r>
          </w:p>
          <w:p w:rsidR="00000000" w:rsidRPr="00FD10E2" w:rsidP="00FD10E2">
            <w:pPr>
              <w:pStyle w:val="ListBullet2"/>
            </w:pPr>
            <w:r w:rsidRPr="00FD10E2">
              <w:t>applicable documentation, including legislation, regulations, codes of practice, workplace procedures and operation manuals.</w:t>
            </w:r>
          </w:p>
        </w:tc>
      </w:tr>
    </w:tbl>
    <w:p w:rsidR="00B90979" w:rsidP="00FD10E2">
      <w:pPr>
        <w:pStyle w:val="NoPaddingFontSize1"/>
      </w:pPr>
    </w:p>
    <w:p w:rsidR="00B90979" w:rsidP="00FD10E2">
      <w:pPr>
        <w:pStyle w:val="NoPaddingFontSize1"/>
      </w:pPr>
    </w:p>
    <w:p w:rsidR="00000000" w:rsidRPr="00FD10E2" w:rsidP="00FD10E2">
      <w:pPr>
        <w:pStyle w:val="Heading1"/>
      </w:pPr>
      <w:bookmarkStart w:id="15" w:name="O_1194552"/>
      <w:bookmarkEnd w:id="15"/>
      <w:r w:rsidRPr="00FD10E2">
        <w:t>Links</w:t>
      </w:r>
    </w:p>
    <w:p w:rsidR="00000000" w:rsidRPr="00FD10E2" w:rsidP="00B90979">
      <w:pPr>
        <w:pStyle w:val="BodyText"/>
      </w:pPr>
      <w:r w:rsidRPr="00FD1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06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10E2" w:rsidP="00FD10E2"/>
    <w:sectPr w:rsidSect="00FD10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E2" w:rsidRPr="00B90979" w:rsidP="00B909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79" w:rsidP="00FD1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0979" w:rsidP="00FD1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90979" w:rsidP="00FD10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E2" w:rsidP="00FD1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0979">
      <w:t>Approved</w:t>
    </w:r>
    <w:r w:rsidR="00B909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09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0979">
      <w:rPr>
        <w:noProof/>
      </w:rPr>
      <w:t>5</w:t>
    </w:r>
    <w:r>
      <w:rPr>
        <w:noProof/>
      </w:rPr>
      <w:fldChar w:fldCharType="end"/>
    </w:r>
  </w:p>
  <w:p w:rsidR="00FD10E2" w:rsidP="00FD1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09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0979">
      <w:t>Industry Skills Australia</w:t>
    </w:r>
    <w:r w:rsidR="00B90979">
      <w:fldChar w:fldCharType="end"/>
    </w:r>
  </w:p>
  <w:p w:rsidR="00FD10E2" w:rsidP="00FD1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0E2" w:rsidRPr="00B90979" w:rsidP="00B909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79" w:rsidRPr="002D2AF8" w:rsidP="00FD1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TLIL0011 Implement equal employment opportunity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0979" w:rsidP="00FD10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E2" w:rsidRPr="002D2AF8" w:rsidP="00FD1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0979">
      <w:t>TLIL0011 Implement equal employment opportunity strategies</w:t>
    </w:r>
    <w:r w:rsidR="00B909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0979">
      <w:rPr>
        <w:noProof/>
      </w:rPr>
      <w:t>2 March 2025</w:t>
    </w:r>
    <w:r>
      <w:fldChar w:fldCharType="end"/>
    </w:r>
  </w:p>
  <w:p w:rsidR="00FD10E2" w:rsidP="00FD1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9CE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CA8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65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0E2"/>
  </w:style>
  <w:style w:type="character" w:customStyle="1" w:styleId="Heading1Char">
    <w:name w:val="Heading 1 Char"/>
    <w:basedOn w:val="DefaultParagraphFont"/>
    <w:link w:val="Heading1"/>
    <w:rsid w:val="00FD1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0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0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0E2"/>
    <w:rPr>
      <w:b/>
      <w:spacing w:val="0"/>
    </w:rPr>
  </w:style>
  <w:style w:type="paragraph" w:styleId="ListBullet2">
    <w:name w:val="List Bullet 2"/>
    <w:basedOn w:val="List2"/>
    <w:rsid w:val="00FD10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1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0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0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0E2"/>
    <w:rPr>
      <w:i/>
    </w:rPr>
  </w:style>
  <w:style w:type="paragraph" w:styleId="Caption">
    <w:name w:val="caption"/>
    <w:basedOn w:val="BodyText"/>
    <w:next w:val="Normal"/>
    <w:qFormat/>
    <w:rsid w:val="00FD1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0E2"/>
  </w:style>
  <w:style w:type="paragraph" w:styleId="TableofFigures">
    <w:name w:val="table of figures"/>
    <w:basedOn w:val="Normal"/>
    <w:next w:val="Normal"/>
    <w:semiHidden/>
    <w:rsid w:val="00FD1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0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0E2"/>
    <w:rPr>
      <w:rFonts w:ascii="Wingdings" w:hAnsi="Wingdings"/>
    </w:rPr>
  </w:style>
  <w:style w:type="paragraph" w:customStyle="1" w:styleId="TableHeading">
    <w:name w:val="Table Heading"/>
    <w:basedOn w:val="HeadingBase"/>
    <w:rsid w:val="00FD1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0E2"/>
    <w:rPr>
      <w:color w:val="0033CC"/>
      <w:u w:val="none"/>
    </w:rPr>
  </w:style>
  <w:style w:type="paragraph" w:customStyle="1" w:styleId="BodyTextRight">
    <w:name w:val="Body Text Right"/>
    <w:basedOn w:val="BodyText"/>
    <w:rsid w:val="00FD1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0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0E2"/>
    <w:rPr>
      <w:sz w:val="32"/>
    </w:rPr>
  </w:style>
  <w:style w:type="paragraph" w:customStyle="1" w:styleId="HeadingProcedure">
    <w:name w:val="Heading Procedure"/>
    <w:basedOn w:val="HeadingBase"/>
    <w:next w:val="Normal"/>
    <w:rsid w:val="00FD1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0E2"/>
    <w:pPr>
      <w:spacing w:before="60" w:after="60"/>
    </w:pPr>
  </w:style>
  <w:style w:type="paragraph" w:styleId="ListContinue">
    <w:name w:val="List Continue"/>
    <w:basedOn w:val="List"/>
    <w:rsid w:val="00FD10E2"/>
    <w:pPr>
      <w:ind w:firstLine="0"/>
    </w:pPr>
  </w:style>
  <w:style w:type="paragraph" w:customStyle="1" w:styleId="ListNote">
    <w:name w:val="List Note"/>
    <w:basedOn w:val="List"/>
    <w:rsid w:val="00FD1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0E2"/>
    <w:rPr>
      <w:rFonts w:ascii="Courier New" w:hAnsi="Courier New"/>
    </w:rPr>
  </w:style>
  <w:style w:type="paragraph" w:customStyle="1" w:styleId="NoteBullet">
    <w:name w:val="Note Bullet"/>
    <w:basedOn w:val="Note"/>
    <w:rsid w:val="00FD1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0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0E2"/>
    <w:rPr>
      <w:b/>
      <w:smallCaps/>
    </w:rPr>
  </w:style>
  <w:style w:type="paragraph" w:customStyle="1" w:styleId="TableListNumber">
    <w:name w:val="Table List Number"/>
    <w:basedOn w:val="ListNumber"/>
    <w:rsid w:val="00FD1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0E2"/>
    <w:pPr>
      <w:numPr>
        <w:numId w:val="9"/>
      </w:numPr>
    </w:pPr>
  </w:style>
  <w:style w:type="paragraph" w:customStyle="1" w:styleId="ListAlpha2">
    <w:name w:val="List Alpha 2"/>
    <w:basedOn w:val="List2"/>
    <w:rsid w:val="00FD10E2"/>
    <w:pPr>
      <w:numPr>
        <w:numId w:val="8"/>
      </w:numPr>
    </w:pPr>
  </w:style>
  <w:style w:type="paragraph" w:styleId="List2">
    <w:name w:val="List 2"/>
    <w:basedOn w:val="BodyText"/>
    <w:rsid w:val="00FD1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0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0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0E2"/>
    <w:pPr>
      <w:numPr>
        <w:numId w:val="4"/>
      </w:numPr>
    </w:pPr>
  </w:style>
  <w:style w:type="paragraph" w:styleId="ListContinue2">
    <w:name w:val="List Continue 2"/>
    <w:basedOn w:val="List2"/>
    <w:rsid w:val="00FD10E2"/>
    <w:pPr>
      <w:ind w:firstLine="0"/>
    </w:pPr>
  </w:style>
  <w:style w:type="paragraph" w:styleId="ListContinue3">
    <w:name w:val="List Continue 3"/>
    <w:basedOn w:val="List3"/>
    <w:rsid w:val="00FD10E2"/>
    <w:pPr>
      <w:ind w:left="1021" w:firstLine="0"/>
    </w:pPr>
  </w:style>
  <w:style w:type="paragraph" w:styleId="ListContinue4">
    <w:name w:val="List Continue 4"/>
    <w:basedOn w:val="List4"/>
    <w:rsid w:val="00FD10E2"/>
    <w:pPr>
      <w:ind w:firstLine="0"/>
    </w:pPr>
  </w:style>
  <w:style w:type="paragraph" w:styleId="ListContinue5">
    <w:name w:val="List Continue 5"/>
    <w:basedOn w:val="List5"/>
    <w:rsid w:val="00FD10E2"/>
    <w:pPr>
      <w:ind w:firstLine="0"/>
    </w:pPr>
  </w:style>
  <w:style w:type="paragraph" w:styleId="ListNumber3">
    <w:name w:val="List Number 3"/>
    <w:basedOn w:val="List3"/>
    <w:rsid w:val="00FD10E2"/>
    <w:pPr>
      <w:numPr>
        <w:numId w:val="5"/>
      </w:numPr>
    </w:pPr>
  </w:style>
  <w:style w:type="paragraph" w:styleId="ListNumber4">
    <w:name w:val="List Number 4"/>
    <w:basedOn w:val="List4"/>
    <w:rsid w:val="00FD10E2"/>
    <w:pPr>
      <w:numPr>
        <w:numId w:val="6"/>
      </w:numPr>
    </w:pPr>
  </w:style>
  <w:style w:type="paragraph" w:styleId="ListNumber5">
    <w:name w:val="List Number 5"/>
    <w:basedOn w:val="List5"/>
    <w:rsid w:val="00FD10E2"/>
    <w:pPr>
      <w:numPr>
        <w:numId w:val="7"/>
      </w:numPr>
    </w:pPr>
  </w:style>
  <w:style w:type="paragraph" w:styleId="BlockText">
    <w:name w:val="Block Text"/>
    <w:basedOn w:val="Normal"/>
    <w:rsid w:val="00FD1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0E2"/>
    <w:rPr>
      <w:sz w:val="16"/>
      <w:vertAlign w:val="superscript"/>
    </w:rPr>
  </w:style>
  <w:style w:type="character" w:customStyle="1" w:styleId="Symbols">
    <w:name w:val="Symbols"/>
    <w:basedOn w:val="DefaultParagraphFont"/>
    <w:rsid w:val="00FD10E2"/>
    <w:rPr>
      <w:rFonts w:ascii="Symbol" w:hAnsi="Symbol"/>
    </w:rPr>
  </w:style>
  <w:style w:type="character" w:customStyle="1" w:styleId="MenuOptions">
    <w:name w:val="Menu Options"/>
    <w:basedOn w:val="DefaultParagraphFont"/>
    <w:rsid w:val="00FD1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0E2"/>
    <w:rPr>
      <w:b/>
    </w:rPr>
  </w:style>
  <w:style w:type="character" w:customStyle="1" w:styleId="Underlined">
    <w:name w:val="Underlined"/>
    <w:basedOn w:val="DefaultParagraphFont"/>
    <w:rsid w:val="00FD10E2"/>
    <w:rPr>
      <w:u w:val="single"/>
    </w:rPr>
  </w:style>
  <w:style w:type="paragraph" w:customStyle="1" w:styleId="TableBodyTextRight">
    <w:name w:val="Table Body Text Right"/>
    <w:basedOn w:val="TableBodyText"/>
    <w:rsid w:val="00FD1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0E2"/>
    <w:rPr>
      <w:sz w:val="18"/>
    </w:rPr>
  </w:style>
  <w:style w:type="paragraph" w:customStyle="1" w:styleId="BodySmallRight">
    <w:name w:val="Body Small Right"/>
    <w:basedOn w:val="BodyTextRight"/>
    <w:rsid w:val="00FD10E2"/>
    <w:rPr>
      <w:sz w:val="18"/>
      <w:szCs w:val="18"/>
    </w:rPr>
  </w:style>
  <w:style w:type="paragraph" w:customStyle="1" w:styleId="MarginEdition">
    <w:name w:val="Margin Edition"/>
    <w:basedOn w:val="MarginNote"/>
    <w:rsid w:val="00FD1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0E2"/>
    <w:rPr>
      <w:sz w:val="2"/>
      <w:szCs w:val="2"/>
    </w:rPr>
  </w:style>
  <w:style w:type="character" w:customStyle="1" w:styleId="Small">
    <w:name w:val="Small"/>
    <w:basedOn w:val="DefaultParagraphFont"/>
    <w:rsid w:val="00FD10E2"/>
    <w:rPr>
      <w:sz w:val="16"/>
    </w:rPr>
  </w:style>
  <w:style w:type="paragraph" w:customStyle="1" w:styleId="WideTable">
    <w:name w:val="Wide Table"/>
    <w:basedOn w:val="Normal"/>
    <w:rsid w:val="00FD1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0E2"/>
  </w:style>
  <w:style w:type="paragraph" w:styleId="Quote">
    <w:name w:val="Quote"/>
    <w:basedOn w:val="Heading1"/>
    <w:link w:val="QuoteChar"/>
    <w:qFormat/>
    <w:rsid w:val="00FD1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0E2"/>
    <w:pPr>
      <w:pageBreakBefore/>
    </w:pPr>
  </w:style>
  <w:style w:type="paragraph" w:customStyle="1" w:styleId="Border">
    <w:name w:val="Border"/>
    <w:basedOn w:val="Normal"/>
    <w:qFormat/>
    <w:rsid w:val="00FD1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0E2"/>
    <w:rPr>
      <w:u w:val="single"/>
    </w:rPr>
  </w:style>
  <w:style w:type="character" w:customStyle="1" w:styleId="BoldandItalics">
    <w:name w:val="Bold and Italics"/>
    <w:qFormat/>
    <w:rsid w:val="00FD10E2"/>
    <w:rPr>
      <w:b/>
      <w:i/>
      <w:u w:val="none"/>
    </w:rPr>
  </w:style>
  <w:style w:type="paragraph" w:styleId="BalloonText">
    <w:name w:val="Balloon Text"/>
    <w:basedOn w:val="Normal"/>
    <w:link w:val="BalloonTextChar"/>
    <w:rsid w:val="00FD1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0E2"/>
    <w:pPr>
      <w:spacing w:before="0" w:after="0"/>
    </w:pPr>
  </w:style>
  <w:style w:type="paragraph" w:customStyle="1" w:styleId="BodyTextBold">
    <w:name w:val="Body Text Bold"/>
    <w:basedOn w:val="BodyText"/>
    <w:qFormat/>
    <w:rsid w:val="00FD10E2"/>
    <w:rPr>
      <w:b/>
    </w:rPr>
  </w:style>
  <w:style w:type="character" w:styleId="Hyperlink">
    <w:name w:val="Hyperlink"/>
    <w:basedOn w:val="DefaultParagraphFont"/>
    <w:uiPriority w:val="99"/>
    <w:unhideWhenUsed/>
    <w:rsid w:val="00B909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1180</Words>
  <Characters>7865</Characters>
  <Application>Microsoft Office Word</Application>
  <DocSecurity>0</DocSecurity>
  <Lines>327</Lines>
  <Paragraphs>192</Paragraphs>
  <ScaleCrop>false</ScaleCrop>
  <Company>Author-it Software Corporation Ltd.</Company>
  <LinksUpToDate>false</LinksUpToDate>
  <CharactersWithSpaces>8853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TLIL0011 Implement equal employment opportunity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