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BF7" w:rsidP="00EA7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TLIL0010 Implement a track occupancy authority</w:t>
      </w:r>
      <w:r>
        <w:fldChar w:fldCharType="end"/>
      </w:r>
    </w:p>
    <w:p w:rsidR="00EA7BF7" w:rsidP="00EA7BF7">
      <w:pPr>
        <w:pStyle w:val="Version"/>
        <w:sectPr w:rsidSect="00916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47E" w:rsidP="0091647E">
      <w:pPr>
        <w:pStyle w:val="SuperHeading"/>
      </w:pPr>
      <w:r w:rsidRPr="0091647E">
        <w:t>TLIL0010 Implement a track occupancy authority</w:t>
      </w:r>
    </w:p>
    <w:p w:rsidR="00000000" w:rsidRPr="0091647E" w:rsidP="0091647E">
      <w:pPr>
        <w:pStyle w:val="Heading1"/>
      </w:pPr>
      <w:bookmarkStart w:id="1" w:name="O_1194517"/>
      <w:bookmarkEnd w:id="1"/>
      <w:r w:rsidRPr="009164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rPr>
                <w:rStyle w:val="SpecialBold"/>
              </w:rPr>
              <w:t>Release 1</w:t>
            </w:r>
            <w:r w:rsidRPr="0091647E">
              <w:t>. This is the first release of this unit of competency in the TLI Transport and Logistics Training Package.</w:t>
            </w:r>
          </w:p>
        </w:tc>
      </w:tr>
    </w:tbl>
    <w:p w:rsidR="00EA7BF7" w:rsidP="0091647E">
      <w:pPr>
        <w:pStyle w:val="NoPaddingFontSize1"/>
      </w:pPr>
    </w:p>
    <w:p w:rsidR="00EA7BF7" w:rsidP="0091647E">
      <w:pPr>
        <w:pStyle w:val="NoPaddingFontSize1"/>
      </w:pPr>
    </w:p>
    <w:p w:rsidR="00000000" w:rsidRPr="0091647E" w:rsidP="0091647E">
      <w:pPr>
        <w:pStyle w:val="Heading1"/>
      </w:pPr>
      <w:bookmarkStart w:id="2" w:name="O_1194518"/>
      <w:bookmarkEnd w:id="2"/>
      <w:r w:rsidRPr="009164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t>This unit involves the skills and knowledge required to implement a Track O</w:t>
            </w:r>
            <w:r w:rsidRPr="0091647E">
              <w:t xml:space="preserve">ccupancy Authority (TOA), in accordance with Rail Infrastructure Manager, legislative and regulatory requirements. </w:t>
            </w:r>
          </w:p>
          <w:p w:rsidR="00000000" w:rsidRPr="0091647E" w:rsidP="0091647E">
            <w:pPr>
              <w:pStyle w:val="BodyText"/>
            </w:pPr>
            <w:r w:rsidRPr="0091647E">
              <w:t>It includes preparing for a TOA, cancelling or fulfilling a TOA and managing unsafe situations or emergencies.</w:t>
            </w:r>
          </w:p>
          <w:p w:rsidR="00000000" w:rsidRPr="0091647E" w:rsidP="0091647E">
            <w:pPr>
              <w:pStyle w:val="BodyText"/>
            </w:pPr>
            <w:r w:rsidRPr="0091647E">
              <w:t>People achieving competence i</w:t>
            </w:r>
            <w:r w:rsidRPr="0091647E">
              <w:t>n this unit will need to fulfil the applicable state/territory legislated rail safety requirements and to comply with relevant codes of practice and/or guidelines.</w:t>
            </w:r>
          </w:p>
          <w:p w:rsidR="00000000" w:rsidRPr="0091647E" w:rsidP="0091647E">
            <w:pPr>
              <w:pStyle w:val="BodyText"/>
            </w:pPr>
            <w:r w:rsidRPr="0091647E">
              <w:t>The unit includes the application of Rail Infrastructure Manager rules, procedures and proto</w:t>
            </w:r>
            <w:r w:rsidRPr="0091647E">
              <w:t xml:space="preserve">cols for rail safety but does not include the implementation of worksite or track protection. </w:t>
            </w:r>
          </w:p>
          <w:p w:rsidR="00000000" w:rsidRPr="0091647E" w:rsidP="0091647E">
            <w:pPr>
              <w:pStyle w:val="BodyText"/>
            </w:pPr>
            <w:r w:rsidRPr="0091647E">
              <w:t>No licensing, legislative or certification requirements apply to this unit at the time of publication.</w:t>
            </w:r>
          </w:p>
        </w:tc>
      </w:tr>
    </w:tbl>
    <w:p w:rsidR="00EA7BF7" w:rsidP="0091647E">
      <w:pPr>
        <w:pStyle w:val="NoPaddingFontSize1"/>
      </w:pPr>
    </w:p>
    <w:p w:rsidR="00EA7BF7" w:rsidP="0091647E">
      <w:pPr>
        <w:pStyle w:val="NoPaddingFontSize1"/>
      </w:pPr>
    </w:p>
    <w:p w:rsidR="00000000" w:rsidRPr="0091647E" w:rsidP="0091647E">
      <w:pPr>
        <w:pStyle w:val="Heading1"/>
      </w:pPr>
      <w:bookmarkStart w:id="3" w:name="O_1194519"/>
      <w:bookmarkEnd w:id="3"/>
      <w:r w:rsidRPr="009164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t>Not applicable.</w:t>
            </w:r>
          </w:p>
        </w:tc>
      </w:tr>
    </w:tbl>
    <w:p w:rsidR="00EA7BF7" w:rsidP="0091647E">
      <w:pPr>
        <w:pStyle w:val="NoPaddingFontSize1"/>
      </w:pPr>
    </w:p>
    <w:p w:rsidR="00EA7BF7" w:rsidP="0091647E">
      <w:pPr>
        <w:pStyle w:val="NoPaddingFontSize1"/>
      </w:pPr>
    </w:p>
    <w:p w:rsidR="00000000" w:rsidRPr="0091647E" w:rsidP="0091647E">
      <w:pPr>
        <w:pStyle w:val="Heading1"/>
      </w:pPr>
      <w:bookmarkStart w:id="4" w:name="O_1194520"/>
      <w:bookmarkEnd w:id="4"/>
      <w:r w:rsidRPr="009164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t>L – Resource Management</w:t>
            </w:r>
          </w:p>
        </w:tc>
      </w:tr>
    </w:tbl>
    <w:p w:rsidR="00EA7BF7" w:rsidP="0091647E">
      <w:pPr>
        <w:pStyle w:val="NoPaddingFontSize1"/>
      </w:pPr>
    </w:p>
    <w:p w:rsidR="00EA7BF7" w:rsidP="0091647E">
      <w:pPr>
        <w:pStyle w:val="NoPaddingFontSize1"/>
      </w:pPr>
    </w:p>
    <w:p w:rsidR="00000000" w:rsidRPr="0091647E" w:rsidP="0091647E">
      <w:pPr>
        <w:pStyle w:val="Heading1"/>
      </w:pPr>
      <w:bookmarkStart w:id="5" w:name="O_1194521"/>
      <w:bookmarkEnd w:id="5"/>
      <w:r w:rsidRPr="009164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t>Rail sector.</w:t>
            </w:r>
          </w:p>
        </w:tc>
      </w:tr>
    </w:tbl>
    <w:p w:rsidR="00EA7BF7" w:rsidP="0091647E">
      <w:pPr>
        <w:pStyle w:val="NoPaddingFontSize1"/>
      </w:pPr>
    </w:p>
    <w:p w:rsidR="00EA7BF7" w:rsidP="0091647E">
      <w:pPr>
        <w:pStyle w:val="NoPaddingFontSize1"/>
      </w:pPr>
    </w:p>
    <w:p w:rsidR="00000000" w:rsidRPr="0091647E" w:rsidP="0091647E">
      <w:pPr>
        <w:pStyle w:val="Heading1"/>
      </w:pPr>
      <w:bookmarkStart w:id="6" w:name="O_1194522"/>
      <w:bookmarkEnd w:id="6"/>
      <w:r w:rsidRPr="009164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6"/>
        <w:gridCol w:w="2373"/>
        <w:gridCol w:w="443"/>
        <w:gridCol w:w="5944"/>
      </w:tblGrid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Performance criteria describe the performance needed to demonstrate achievement of the element.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rPr>
                <w:rStyle w:val="SpecialBold"/>
              </w:rPr>
              <w:t>Prepare for track occupancy authority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Worksite or track protection plan is sourced and TOA terms are read and clarified, as required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Hazards are identified, risks are assessed and control measures implemented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Network control officer is notified of intention to use a TOA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Work group supervisor is advised of network control officer’s decision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rPr>
                <w:rStyle w:val="SpecialBold"/>
              </w:rPr>
              <w:t>Issue a track occupancy authority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Permission for a TOA is requested from network control officer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Permission for a TOA is documented in accordance with Rail Infrastructure Manager and/or organisational requirements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Work group supervisor is advised that occupancy has been issued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Alterations to the TOA are negotiated with network control officer as required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Multiple worksites are protected in accordance with rules and procedures and/or organisational requirements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Work group supervisor is advised that the TOA has been issued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rPr>
                <w:rStyle w:val="SpecialBold"/>
              </w:rPr>
              <w:t>Cancel or fulfil the track occupancy authority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Communication is maintained with work group supervisor to confirm completion of work activity and that track is safe for rail traffic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Network control officer is informed that TOA has been cancelled or fulfilled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Fulfilment of the TOA is documented in accordance with Rail Infrastructure Manager requirements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rPr>
                <w:rStyle w:val="SpecialBold"/>
              </w:rPr>
              <w:t>Manage unsafe situations or emergencies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Unsafe situations and/or emergencies are identified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Work group is instructed to move to a safe place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t>Appropriate action is taken to minimise risk and/or injury in accordance with workplace procedures</w:t>
            </w:r>
          </w:p>
        </w:tc>
      </w:tr>
      <w:tr w:rsidTr="00EA7B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E">
            <w:pPr>
              <w:pStyle w:val="BodyText"/>
              <w:rPr>
                <w:lang w:val="en-NZ"/>
              </w:rPr>
            </w:pPr>
            <w:r w:rsidRPr="0091647E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t>Emergencies and/or incidents are recorded and reported to relevant personnel in accordance with workplace procedures</w:t>
            </w:r>
          </w:p>
        </w:tc>
      </w:tr>
    </w:tbl>
    <w:p w:rsidR="00EA7BF7" w:rsidP="0091647E">
      <w:pPr>
        <w:pStyle w:val="NoPaddingFontSize1"/>
      </w:pPr>
    </w:p>
    <w:p w:rsidR="00EA7BF7" w:rsidP="0091647E">
      <w:pPr>
        <w:pStyle w:val="NoPaddingFontSize1"/>
      </w:pPr>
    </w:p>
    <w:p w:rsidR="00000000" w:rsidRPr="0091647E" w:rsidP="0091647E">
      <w:pPr>
        <w:pStyle w:val="Heading1"/>
      </w:pPr>
      <w:bookmarkStart w:id="7" w:name="O_1194523"/>
      <w:bookmarkEnd w:id="7"/>
      <w:r w:rsidRPr="009164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t>Foundation skills essential to performance are explicit in the performance criteria of this unit of competency.</w:t>
            </w:r>
          </w:p>
        </w:tc>
      </w:tr>
    </w:tbl>
    <w:p w:rsidR="00EA7BF7" w:rsidP="0091647E">
      <w:pPr>
        <w:pStyle w:val="NoPaddingFontSize1"/>
      </w:pPr>
    </w:p>
    <w:p w:rsidR="00EA7BF7" w:rsidP="0091647E">
      <w:pPr>
        <w:pStyle w:val="NoPaddingFontSize1"/>
      </w:pPr>
    </w:p>
    <w:p w:rsidR="00000000" w:rsidRPr="0091647E" w:rsidP="0091647E">
      <w:pPr>
        <w:pStyle w:val="Heading1"/>
      </w:pPr>
      <w:bookmarkStart w:id="8" w:name="O_1194524"/>
      <w:bookmarkEnd w:id="8"/>
      <w:r w:rsidRPr="009164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t>Range is restricted to essential operating conditions and any other variables essent</w:t>
            </w:r>
            <w:r w:rsidRPr="0091647E">
              <w:t>ial to the work environment.</w:t>
            </w:r>
          </w:p>
        </w:tc>
      </w:tr>
    </w:tbl>
    <w:p w:rsidR="00EA7BF7" w:rsidP="0091647E">
      <w:pPr>
        <w:pStyle w:val="NoPaddingFontSize1"/>
      </w:pPr>
    </w:p>
    <w:p w:rsidR="00EA7BF7" w:rsidP="0091647E">
      <w:pPr>
        <w:pStyle w:val="NoPaddingFontSize1"/>
      </w:pPr>
    </w:p>
    <w:p w:rsidR="00000000" w:rsidRPr="0091647E" w:rsidP="0091647E">
      <w:pPr>
        <w:pStyle w:val="Heading1"/>
      </w:pPr>
      <w:bookmarkStart w:id="9" w:name="O_1194525"/>
      <w:bookmarkEnd w:id="9"/>
      <w:r w:rsidRPr="009164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64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E" w:rsidP="0091647E">
            <w:pPr>
              <w:pStyle w:val="BodyText"/>
            </w:pPr>
            <w:r w:rsidRPr="0091647E">
              <w:t>This unit replaces and is equivalent to TLIL3065 Implement a track occupancy authority.</w:t>
            </w:r>
          </w:p>
        </w:tc>
      </w:tr>
    </w:tbl>
    <w:p w:rsidR="00EA7BF7" w:rsidP="0091647E">
      <w:pPr>
        <w:pStyle w:val="NoPaddingFontSize1"/>
      </w:pPr>
    </w:p>
    <w:p w:rsidR="00EA7BF7" w:rsidP="0091647E">
      <w:pPr>
        <w:pStyle w:val="NoPaddingFontSize1"/>
      </w:pPr>
    </w:p>
    <w:p w:rsidR="00000000" w:rsidRPr="0091647E" w:rsidP="0091647E">
      <w:pPr>
        <w:pStyle w:val="Heading1"/>
      </w:pPr>
      <w:bookmarkStart w:id="10" w:name="O_1194532"/>
      <w:bookmarkEnd w:id="10"/>
      <w:r w:rsidRPr="0091647E">
        <w:t>Links</w:t>
      </w:r>
    </w:p>
    <w:p w:rsidR="00000000" w:rsidRPr="0091647E" w:rsidP="00EA7BF7">
      <w:pPr>
        <w:pStyle w:val="BodyText"/>
      </w:pPr>
      <w:r w:rsidRPr="009164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E06E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647E" w:rsidP="0091647E"/>
    <w:sectPr w:rsidSect="009164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E" w:rsidRPr="00EA7BF7" w:rsidP="00EA7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F7" w:rsidP="00916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BF7" w:rsidP="00916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A7BF7" w:rsidP="009164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47E" w:rsidRPr="00EA7BF7" w:rsidP="00EA7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BF7" w:rsidRPr="002D2AF8" w:rsidP="00916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TLIL0010 Implement a track occupancy authority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A7BF7" w:rsidP="009164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47E"/>
  </w:style>
  <w:style w:type="character" w:customStyle="1" w:styleId="Heading1Char">
    <w:name w:val="Heading 1 Char"/>
    <w:basedOn w:val="DefaultParagraphFont"/>
    <w:link w:val="Heading1"/>
    <w:rsid w:val="00916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4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4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1647E"/>
    <w:rPr>
      <w:b/>
      <w:spacing w:val="0"/>
    </w:rPr>
  </w:style>
  <w:style w:type="paragraph" w:customStyle="1" w:styleId="SuperHeading">
    <w:name w:val="SuperHeading"/>
    <w:basedOn w:val="Normal"/>
    <w:rsid w:val="009164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6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4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4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4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4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4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64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6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4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4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4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47E"/>
    <w:rPr>
      <w:i/>
    </w:rPr>
  </w:style>
  <w:style w:type="paragraph" w:styleId="Caption">
    <w:name w:val="caption"/>
    <w:basedOn w:val="BodyText"/>
    <w:next w:val="Normal"/>
    <w:qFormat/>
    <w:rsid w:val="00916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47E"/>
  </w:style>
  <w:style w:type="paragraph" w:styleId="TableofFigures">
    <w:name w:val="table of figures"/>
    <w:basedOn w:val="Normal"/>
    <w:next w:val="Normal"/>
    <w:semiHidden/>
    <w:rsid w:val="00916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4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647E"/>
    <w:rPr>
      <w:rFonts w:ascii="Wingdings" w:hAnsi="Wingdings"/>
    </w:rPr>
  </w:style>
  <w:style w:type="paragraph" w:customStyle="1" w:styleId="TableHeading">
    <w:name w:val="Table Heading"/>
    <w:basedOn w:val="HeadingBase"/>
    <w:rsid w:val="00916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47E"/>
    <w:rPr>
      <w:color w:val="0033CC"/>
      <w:u w:val="none"/>
    </w:rPr>
  </w:style>
  <w:style w:type="paragraph" w:customStyle="1" w:styleId="BodyTextRight">
    <w:name w:val="Body Text Right"/>
    <w:basedOn w:val="BodyText"/>
    <w:rsid w:val="00916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4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4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47E"/>
    <w:rPr>
      <w:sz w:val="32"/>
    </w:rPr>
  </w:style>
  <w:style w:type="paragraph" w:customStyle="1" w:styleId="HeadingProcedure">
    <w:name w:val="Heading Procedure"/>
    <w:basedOn w:val="HeadingBase"/>
    <w:next w:val="Normal"/>
    <w:rsid w:val="00916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47E"/>
    <w:pPr>
      <w:spacing w:before="60" w:after="60"/>
    </w:pPr>
  </w:style>
  <w:style w:type="paragraph" w:styleId="ListContinue">
    <w:name w:val="List Continue"/>
    <w:basedOn w:val="List"/>
    <w:rsid w:val="0091647E"/>
    <w:pPr>
      <w:ind w:firstLine="0"/>
    </w:pPr>
  </w:style>
  <w:style w:type="paragraph" w:customStyle="1" w:styleId="ListNote">
    <w:name w:val="List Note"/>
    <w:basedOn w:val="List"/>
    <w:rsid w:val="00916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47E"/>
    <w:rPr>
      <w:rFonts w:ascii="Courier New" w:hAnsi="Courier New"/>
    </w:rPr>
  </w:style>
  <w:style w:type="paragraph" w:customStyle="1" w:styleId="NoteBullet">
    <w:name w:val="Note Bullet"/>
    <w:basedOn w:val="Note"/>
    <w:rsid w:val="00916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4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4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4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6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4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47E"/>
    <w:rPr>
      <w:b/>
      <w:smallCaps/>
    </w:rPr>
  </w:style>
  <w:style w:type="paragraph" w:customStyle="1" w:styleId="TableListNumber">
    <w:name w:val="Table List Number"/>
    <w:basedOn w:val="ListNumber"/>
    <w:rsid w:val="00916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47E"/>
    <w:pPr>
      <w:numPr>
        <w:numId w:val="7"/>
      </w:numPr>
    </w:pPr>
  </w:style>
  <w:style w:type="paragraph" w:customStyle="1" w:styleId="ListAlpha2">
    <w:name w:val="List Alpha 2"/>
    <w:basedOn w:val="List2"/>
    <w:rsid w:val="0091647E"/>
    <w:pPr>
      <w:numPr>
        <w:numId w:val="6"/>
      </w:numPr>
    </w:pPr>
  </w:style>
  <w:style w:type="paragraph" w:styleId="List2">
    <w:name w:val="List 2"/>
    <w:basedOn w:val="BodyText"/>
    <w:rsid w:val="009164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4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4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4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647E"/>
    <w:pPr>
      <w:numPr>
        <w:numId w:val="2"/>
      </w:numPr>
    </w:pPr>
  </w:style>
  <w:style w:type="paragraph" w:styleId="ListContinue2">
    <w:name w:val="List Continue 2"/>
    <w:basedOn w:val="List2"/>
    <w:rsid w:val="0091647E"/>
    <w:pPr>
      <w:ind w:firstLine="0"/>
    </w:pPr>
  </w:style>
  <w:style w:type="paragraph" w:styleId="ListContinue3">
    <w:name w:val="List Continue 3"/>
    <w:basedOn w:val="List3"/>
    <w:rsid w:val="0091647E"/>
    <w:pPr>
      <w:ind w:left="1021" w:firstLine="0"/>
    </w:pPr>
  </w:style>
  <w:style w:type="paragraph" w:styleId="ListContinue4">
    <w:name w:val="List Continue 4"/>
    <w:basedOn w:val="List4"/>
    <w:rsid w:val="0091647E"/>
    <w:pPr>
      <w:ind w:firstLine="0"/>
    </w:pPr>
  </w:style>
  <w:style w:type="paragraph" w:styleId="ListContinue5">
    <w:name w:val="List Continue 5"/>
    <w:basedOn w:val="List5"/>
    <w:rsid w:val="0091647E"/>
    <w:pPr>
      <w:ind w:firstLine="0"/>
    </w:pPr>
  </w:style>
  <w:style w:type="paragraph" w:styleId="ListNumber3">
    <w:name w:val="List Number 3"/>
    <w:basedOn w:val="List3"/>
    <w:rsid w:val="0091647E"/>
    <w:pPr>
      <w:numPr>
        <w:numId w:val="3"/>
      </w:numPr>
    </w:pPr>
  </w:style>
  <w:style w:type="paragraph" w:styleId="ListNumber4">
    <w:name w:val="List Number 4"/>
    <w:basedOn w:val="List4"/>
    <w:rsid w:val="0091647E"/>
    <w:pPr>
      <w:numPr>
        <w:numId w:val="4"/>
      </w:numPr>
    </w:pPr>
  </w:style>
  <w:style w:type="paragraph" w:styleId="ListNumber5">
    <w:name w:val="List Number 5"/>
    <w:basedOn w:val="List5"/>
    <w:rsid w:val="0091647E"/>
    <w:pPr>
      <w:numPr>
        <w:numId w:val="5"/>
      </w:numPr>
    </w:pPr>
  </w:style>
  <w:style w:type="paragraph" w:styleId="BlockText">
    <w:name w:val="Block Text"/>
    <w:basedOn w:val="Normal"/>
    <w:rsid w:val="00916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47E"/>
    <w:rPr>
      <w:sz w:val="16"/>
      <w:vertAlign w:val="superscript"/>
    </w:rPr>
  </w:style>
  <w:style w:type="character" w:customStyle="1" w:styleId="Symbols">
    <w:name w:val="Symbols"/>
    <w:basedOn w:val="DefaultParagraphFont"/>
    <w:rsid w:val="0091647E"/>
    <w:rPr>
      <w:rFonts w:ascii="Symbol" w:hAnsi="Symbol"/>
    </w:rPr>
  </w:style>
  <w:style w:type="character" w:customStyle="1" w:styleId="MenuOptions">
    <w:name w:val="Menu Options"/>
    <w:basedOn w:val="DefaultParagraphFont"/>
    <w:rsid w:val="00916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47E"/>
    <w:rPr>
      <w:b/>
    </w:rPr>
  </w:style>
  <w:style w:type="character" w:customStyle="1" w:styleId="Underlined">
    <w:name w:val="Underlined"/>
    <w:basedOn w:val="DefaultParagraphFont"/>
    <w:rsid w:val="0091647E"/>
    <w:rPr>
      <w:u w:val="single"/>
    </w:rPr>
  </w:style>
  <w:style w:type="paragraph" w:customStyle="1" w:styleId="TableBodyTextRight">
    <w:name w:val="Table Body Text Right"/>
    <w:basedOn w:val="TableBodyText"/>
    <w:rsid w:val="00916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47E"/>
    <w:rPr>
      <w:sz w:val="18"/>
    </w:rPr>
  </w:style>
  <w:style w:type="paragraph" w:customStyle="1" w:styleId="BodySmallRight">
    <w:name w:val="Body Small Right"/>
    <w:basedOn w:val="BodyTextRight"/>
    <w:rsid w:val="0091647E"/>
    <w:rPr>
      <w:sz w:val="18"/>
      <w:szCs w:val="18"/>
    </w:rPr>
  </w:style>
  <w:style w:type="paragraph" w:customStyle="1" w:styleId="MarginEdition">
    <w:name w:val="Margin Edition"/>
    <w:basedOn w:val="MarginNote"/>
    <w:rsid w:val="00916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47E"/>
    <w:rPr>
      <w:sz w:val="2"/>
      <w:szCs w:val="2"/>
    </w:rPr>
  </w:style>
  <w:style w:type="character" w:customStyle="1" w:styleId="Small">
    <w:name w:val="Small"/>
    <w:basedOn w:val="DefaultParagraphFont"/>
    <w:rsid w:val="0091647E"/>
    <w:rPr>
      <w:sz w:val="16"/>
    </w:rPr>
  </w:style>
  <w:style w:type="paragraph" w:customStyle="1" w:styleId="WideTable">
    <w:name w:val="Wide Table"/>
    <w:basedOn w:val="Normal"/>
    <w:rsid w:val="00916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47E"/>
  </w:style>
  <w:style w:type="paragraph" w:styleId="Quote">
    <w:name w:val="Quote"/>
    <w:basedOn w:val="Heading1"/>
    <w:link w:val="QuoteChar"/>
    <w:qFormat/>
    <w:rsid w:val="00916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47E"/>
    <w:pPr>
      <w:pageBreakBefore/>
    </w:pPr>
  </w:style>
  <w:style w:type="paragraph" w:customStyle="1" w:styleId="Border">
    <w:name w:val="Border"/>
    <w:basedOn w:val="Normal"/>
    <w:qFormat/>
    <w:rsid w:val="00916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4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47E"/>
    <w:rPr>
      <w:u w:val="single"/>
    </w:rPr>
  </w:style>
  <w:style w:type="character" w:customStyle="1" w:styleId="BoldandItalics">
    <w:name w:val="Bold and Italics"/>
    <w:qFormat/>
    <w:rsid w:val="0091647E"/>
    <w:rPr>
      <w:b/>
      <w:i/>
      <w:u w:val="none"/>
    </w:rPr>
  </w:style>
  <w:style w:type="paragraph" w:styleId="BalloonText">
    <w:name w:val="Balloon Text"/>
    <w:basedOn w:val="Normal"/>
    <w:link w:val="BalloonTextChar"/>
    <w:rsid w:val="00916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4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4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4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4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4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47E"/>
    <w:pPr>
      <w:spacing w:before="0" w:after="0"/>
    </w:pPr>
  </w:style>
  <w:style w:type="paragraph" w:customStyle="1" w:styleId="BodyTextBold">
    <w:name w:val="Body Text Bold"/>
    <w:basedOn w:val="BodyText"/>
    <w:qFormat/>
    <w:rsid w:val="0091647E"/>
    <w:rPr>
      <w:b/>
    </w:rPr>
  </w:style>
  <w:style w:type="character" w:styleId="Hyperlink">
    <w:name w:val="Hyperlink"/>
    <w:basedOn w:val="DefaultParagraphFont"/>
    <w:uiPriority w:val="99"/>
    <w:unhideWhenUsed/>
    <w:rsid w:val="00EA7B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3205</Characters>
  <Application>Microsoft Office Word</Application>
  <DocSecurity>0</DocSecurity>
  <Lines>160</Lines>
  <Paragraphs>86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TLIL0010 Implement a track occupancy authority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