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A03" w:rsidP="00656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TLIL0008 Coordinate the erection and dismantling of temporary facilities</w:t>
      </w:r>
      <w:r>
        <w:fldChar w:fldCharType="end"/>
      </w:r>
    </w:p>
    <w:p w:rsidR="00656A03" w:rsidP="00656A03">
      <w:pPr>
        <w:pStyle w:val="Version"/>
        <w:sectPr w:rsidSect="00E418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827" w:rsidP="00E41827">
      <w:pPr>
        <w:pStyle w:val="SuperHeading"/>
      </w:pPr>
      <w:r w:rsidRPr="00E41827">
        <w:t>TLIL0008 Coordinate the erection and dismantling of temporary facilities</w:t>
      </w:r>
    </w:p>
    <w:p w:rsidR="00000000" w:rsidRPr="00E41827" w:rsidP="00E41827">
      <w:pPr>
        <w:pStyle w:val="Heading1"/>
      </w:pPr>
      <w:bookmarkStart w:id="1" w:name="O_1194479"/>
      <w:bookmarkEnd w:id="1"/>
      <w:r w:rsidRPr="00E418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rPr>
                <w:rStyle w:val="SpecialBold"/>
              </w:rPr>
              <w:t>Release 1.</w:t>
            </w:r>
            <w:r w:rsidRPr="00E41827">
              <w:t xml:space="preserve"> This is the first release of this unit of competency in the TLI Transport and Logistics Training Package.</w:t>
            </w:r>
          </w:p>
        </w:tc>
      </w:tr>
    </w:tbl>
    <w:p w:rsidR="00656A03" w:rsidP="00E41827">
      <w:pPr>
        <w:pStyle w:val="NoPaddingFontSize1"/>
      </w:pPr>
    </w:p>
    <w:p w:rsidR="00656A03" w:rsidP="00E41827">
      <w:pPr>
        <w:pStyle w:val="NoPaddingFontSize1"/>
      </w:pPr>
    </w:p>
    <w:p w:rsidR="00000000" w:rsidRPr="00E41827" w:rsidP="00E41827">
      <w:pPr>
        <w:pStyle w:val="Heading1"/>
      </w:pPr>
      <w:bookmarkStart w:id="2" w:name="O_1194480"/>
      <w:bookmarkEnd w:id="2"/>
      <w:r w:rsidRPr="00E418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t>This unit involves the skills and knowledge required to coordinate the erection and dismantling of temporary facilities.</w:t>
            </w:r>
          </w:p>
          <w:p w:rsidR="00000000" w:rsidRPr="00E41827" w:rsidP="00E41827">
            <w:pPr>
              <w:pStyle w:val="BodyText"/>
            </w:pPr>
            <w:r w:rsidRPr="00E41827">
              <w:t>It includes planning the erection of temporary facilities, erecting temporary facilities as planned, and dismantling tempor</w:t>
            </w:r>
            <w:r w:rsidRPr="00E41827">
              <w:t>ary facilities after bump-out in accordance with regulatory requirements and workplace procedures.</w:t>
            </w:r>
          </w:p>
          <w:p w:rsidR="00000000" w:rsidRPr="00E41827" w:rsidP="00E41827">
            <w:pPr>
              <w:pStyle w:val="BodyText"/>
            </w:pPr>
            <w:r w:rsidRPr="00E41827">
              <w:t xml:space="preserve">Work is performed under some supervision, generally within a team/group environment. </w:t>
            </w:r>
          </w:p>
          <w:p w:rsidR="00000000" w:rsidRPr="00E41827" w:rsidP="00E41827">
            <w:pPr>
              <w:pStyle w:val="BodyText"/>
            </w:pPr>
            <w:r w:rsidRPr="00E41827">
              <w:t>No licensing, legislative or certification requirements apply to this u</w:t>
            </w:r>
            <w:r w:rsidRPr="00E41827">
              <w:t>nit at the time of publication.</w:t>
            </w:r>
          </w:p>
        </w:tc>
      </w:tr>
    </w:tbl>
    <w:p w:rsidR="00656A03" w:rsidP="00E41827">
      <w:pPr>
        <w:pStyle w:val="NoPaddingFontSize1"/>
      </w:pPr>
    </w:p>
    <w:p w:rsidR="00656A03" w:rsidP="00E41827">
      <w:pPr>
        <w:pStyle w:val="NoPaddingFontSize1"/>
      </w:pPr>
    </w:p>
    <w:p w:rsidR="00000000" w:rsidRPr="00E41827" w:rsidP="00E41827">
      <w:pPr>
        <w:pStyle w:val="Heading1"/>
      </w:pPr>
      <w:bookmarkStart w:id="3" w:name="O_1194481"/>
      <w:bookmarkEnd w:id="3"/>
      <w:r w:rsidRPr="00E418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t>Not applicable.</w:t>
            </w:r>
          </w:p>
        </w:tc>
      </w:tr>
    </w:tbl>
    <w:p w:rsidR="00656A03" w:rsidP="00E41827">
      <w:pPr>
        <w:pStyle w:val="NoPaddingFontSize1"/>
      </w:pPr>
    </w:p>
    <w:p w:rsidR="00656A03" w:rsidP="00E41827">
      <w:pPr>
        <w:pStyle w:val="NoPaddingFontSize1"/>
      </w:pPr>
    </w:p>
    <w:p w:rsidR="00000000" w:rsidRPr="00E41827" w:rsidP="00E41827">
      <w:pPr>
        <w:pStyle w:val="Heading1"/>
      </w:pPr>
      <w:bookmarkStart w:id="4" w:name="O_1194482"/>
      <w:bookmarkEnd w:id="4"/>
      <w:r w:rsidRPr="00E418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t>L – Resource Management.</w:t>
            </w:r>
          </w:p>
        </w:tc>
      </w:tr>
    </w:tbl>
    <w:p w:rsidR="00656A03" w:rsidP="00E41827">
      <w:pPr>
        <w:pStyle w:val="NoPaddingFontSize1"/>
      </w:pPr>
    </w:p>
    <w:p w:rsidR="00656A03" w:rsidP="00E41827">
      <w:pPr>
        <w:pStyle w:val="NoPaddingFontSize1"/>
      </w:pPr>
    </w:p>
    <w:p w:rsidR="00000000" w:rsidRPr="00E41827" w:rsidP="00E41827">
      <w:pPr>
        <w:pStyle w:val="Heading1"/>
      </w:pPr>
      <w:bookmarkStart w:id="5" w:name="O_1194483"/>
      <w:bookmarkEnd w:id="5"/>
      <w:r w:rsidRPr="00E418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t>Not applicable.</w:t>
            </w:r>
          </w:p>
        </w:tc>
      </w:tr>
    </w:tbl>
    <w:p w:rsidR="00656A03" w:rsidP="00E41827">
      <w:pPr>
        <w:pStyle w:val="NoPaddingFontSize1"/>
      </w:pPr>
    </w:p>
    <w:p w:rsidR="00656A03" w:rsidP="00E41827">
      <w:pPr>
        <w:pStyle w:val="NoPaddingFontSize1"/>
      </w:pPr>
    </w:p>
    <w:p w:rsidR="00000000" w:rsidRPr="00E41827" w:rsidP="00E41827">
      <w:pPr>
        <w:pStyle w:val="Heading1"/>
      </w:pPr>
      <w:bookmarkStart w:id="6" w:name="O_1194484"/>
      <w:bookmarkEnd w:id="6"/>
      <w:r w:rsidRPr="00E41827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520"/>
        <w:gridCol w:w="478"/>
        <w:gridCol w:w="6184"/>
      </w:tblGrid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rPr>
                <w:rStyle w:val="SpecialBold"/>
              </w:rPr>
              <w:t>ELEMENTS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PERFORMANCE CRITERIA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Elements describe the essential outcomes.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Performance criteria describe the performance needed to demonstrate achievement of the element.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rPr>
                <w:rStyle w:val="SpecialBold"/>
              </w:rPr>
              <w:t>1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rPr>
                <w:rStyle w:val="SpecialBold"/>
              </w:rPr>
              <w:t>Plan erection of temporary facility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1.1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A needs analysis is conducted to determine type of structure required to suit terrain available, duration of need, climate expected and purpose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1.2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Communication with relevant stakeholders is maintained to meet project needs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1.3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Plans, storage specifications, assembly details and erection sequence are obtained and examined for accuracy to meet intended storage requirements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1.4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Engineering drawings, computations and instructions are obtained from qualified persons, as required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1.5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Local and state/territory authority approvals for facility construction are obtained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1.6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Hazards are identified, risks are assessed and control measures communicated and implemented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1.7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Labour and equipment requirements for storage facility construction are organised and scheduled in accordance with erection sequence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rPr>
                <w:rStyle w:val="SpecialBold"/>
              </w:rPr>
              <w:t>2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rPr>
                <w:rStyle w:val="SpecialBold"/>
              </w:rPr>
              <w:t>Erect temporary facility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2.1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Foundations and earthworks requirements are prepared in accordance with workplace instructi</w:t>
            </w:r>
            <w:r w:rsidRPr="00E41827">
              <w:t>ons and specifications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2.2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Structural components are assembled and placed in accordance with workplace instructions and specifications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2.3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Protective sheeting (floor and wall) is placed and sealed/sewn in accordance with workplace specifications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2.4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Labour and equipment are coordinated for timely and efficient completion of work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rPr>
                <w:rStyle w:val="SpecialBold"/>
              </w:rPr>
              <w:t>3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rPr>
                <w:rStyle w:val="SpecialBold"/>
              </w:rPr>
              <w:t>Dismantle temporary facility after bump</w:t>
            </w:r>
            <w:r w:rsidRPr="00E41827">
              <w:t>-</w:t>
            </w:r>
            <w:r w:rsidRPr="00E41827">
              <w:rPr>
                <w:rStyle w:val="SpecialBold"/>
              </w:rPr>
              <w:t>out</w:t>
            </w: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3.1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Procedures for dismantling temporary facility, including sequencing of processes, are confirmed with qualified personnel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3.2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Labour and equipment requirements for dismantling temporary facility are organised and scheduled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3.3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Material is removed from the facility in accordance with workplace procedures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3.4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Protective sheeting (floor and wall) is dismantled and folded for future use or disposed of in accordance with workplace procedures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3.5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t>Structural components are disassembled, transported and stacked in accordance with workplace instructions</w:t>
            </w:r>
          </w:p>
        </w:tc>
      </w:tr>
      <w:tr w:rsidTr="00E41827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>
            <w:pPr>
              <w:pStyle w:val="BodyText"/>
              <w:keepLines w:val="0"/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827">
            <w:pPr>
              <w:pStyle w:val="BodyText"/>
              <w:rPr>
                <w:lang w:val="en-NZ"/>
              </w:rPr>
            </w:pPr>
            <w:r w:rsidRPr="00E41827">
              <w:rPr>
                <w:rStyle w:val="SpecialBold"/>
              </w:rPr>
              <w:t>3.6</w:t>
            </w:r>
          </w:p>
        </w:tc>
        <w:tc>
          <w:tcPr>
            <w:tcW w:w="61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t>Labour and equipment are coordinated for timely and efficient completion of work</w:t>
            </w:r>
          </w:p>
        </w:tc>
      </w:tr>
    </w:tbl>
    <w:p w:rsidR="00656A03" w:rsidP="00E41827">
      <w:pPr>
        <w:pStyle w:val="NoPaddingFontSize1"/>
      </w:pPr>
    </w:p>
    <w:p w:rsidR="00656A03" w:rsidP="00E41827">
      <w:pPr>
        <w:pStyle w:val="NoPaddingFontSize1"/>
      </w:pPr>
    </w:p>
    <w:p w:rsidR="00000000" w:rsidRPr="00E41827" w:rsidP="00E41827">
      <w:pPr>
        <w:pStyle w:val="Heading1"/>
      </w:pPr>
      <w:bookmarkStart w:id="7" w:name="O_1194485"/>
      <w:bookmarkEnd w:id="7"/>
      <w:r w:rsidRPr="00E418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t>Foundation skills essential to performance are explicit in the performance criteria of this unit of competency.</w:t>
            </w:r>
          </w:p>
        </w:tc>
      </w:tr>
    </w:tbl>
    <w:p w:rsidR="00656A03" w:rsidP="00E41827">
      <w:pPr>
        <w:pStyle w:val="NoPaddingFontSize1"/>
      </w:pPr>
    </w:p>
    <w:p w:rsidR="00656A03" w:rsidP="00E41827">
      <w:pPr>
        <w:pStyle w:val="NoPaddingFontSize1"/>
      </w:pPr>
    </w:p>
    <w:p w:rsidR="00000000" w:rsidRPr="00E41827" w:rsidP="00E41827">
      <w:pPr>
        <w:pStyle w:val="Heading1"/>
      </w:pPr>
      <w:bookmarkStart w:id="8" w:name="O_1194486"/>
      <w:bookmarkEnd w:id="8"/>
      <w:r w:rsidRPr="00E41827">
        <w:t>R</w:t>
      </w:r>
      <w:r w:rsidRPr="00E41827">
        <w:t>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t>Range is restricted to essential operating conditions and any other variables essential to the work environment.</w:t>
            </w:r>
          </w:p>
          <w:p w:rsidR="00000000" w:rsidRPr="00E41827" w:rsidP="00E41827">
            <w:pPr>
              <w:pStyle w:val="BodyText"/>
            </w:pPr>
            <w:r w:rsidRPr="00E41827">
              <w:t>Non-essential conditions can be found in the TLI Transport and Logistics Training Package Companion Volume Implementation Gu</w:t>
            </w:r>
            <w:r w:rsidRPr="00E41827">
              <w:t>ide.</w:t>
            </w:r>
          </w:p>
        </w:tc>
      </w:tr>
    </w:tbl>
    <w:p w:rsidR="00656A03" w:rsidP="00E41827">
      <w:pPr>
        <w:pStyle w:val="NoPaddingFontSize1"/>
      </w:pPr>
    </w:p>
    <w:p w:rsidR="00656A03" w:rsidP="00E41827">
      <w:pPr>
        <w:pStyle w:val="NoPaddingFontSize1"/>
      </w:pPr>
    </w:p>
    <w:p w:rsidR="00000000" w:rsidRPr="00E41827" w:rsidP="00E41827">
      <w:pPr>
        <w:pStyle w:val="Heading1"/>
      </w:pPr>
      <w:bookmarkStart w:id="9" w:name="O_1194487"/>
      <w:bookmarkEnd w:id="9"/>
      <w:r w:rsidRPr="00E418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18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827" w:rsidP="00E41827">
            <w:pPr>
              <w:pStyle w:val="BodyText"/>
            </w:pPr>
            <w:r w:rsidRPr="00E41827">
              <w:t>This unit replaces and is equivalent to TLIL4021 Coordinate the erection and dismantling of temporary storage facilities.</w:t>
            </w:r>
          </w:p>
        </w:tc>
      </w:tr>
    </w:tbl>
    <w:p w:rsidR="00656A03" w:rsidP="00E41827">
      <w:pPr>
        <w:pStyle w:val="NoPaddingFontSize1"/>
      </w:pPr>
    </w:p>
    <w:p w:rsidR="00656A03" w:rsidP="00E41827">
      <w:pPr>
        <w:pStyle w:val="NoPaddingFontSize1"/>
      </w:pPr>
    </w:p>
    <w:p w:rsidR="00000000" w:rsidRPr="00E41827" w:rsidP="00E41827">
      <w:pPr>
        <w:pStyle w:val="Heading1"/>
      </w:pPr>
      <w:bookmarkStart w:id="10" w:name="O_1194494"/>
      <w:bookmarkEnd w:id="10"/>
      <w:r w:rsidRPr="00E41827">
        <w:t>Links</w:t>
      </w:r>
    </w:p>
    <w:p w:rsidR="00000000" w:rsidRPr="00E41827" w:rsidP="00656A03">
      <w:pPr>
        <w:pStyle w:val="BodyText"/>
      </w:pPr>
      <w:r w:rsidRPr="00E418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D6E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1827" w:rsidP="00E41827"/>
    <w:sectPr w:rsidSect="00E418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27" w:rsidRPr="00656A03" w:rsidP="00656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03" w:rsidP="00E418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A03" w:rsidP="00E418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6A03" w:rsidP="00E418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827" w:rsidRPr="00656A03" w:rsidP="00656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A03" w:rsidRPr="002D2AF8" w:rsidP="00E418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TLIL0008 Coordinate the erection and dismantling of temporary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56A03" w:rsidP="00E418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8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8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8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8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8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8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8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8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8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8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8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827"/>
  </w:style>
  <w:style w:type="character" w:customStyle="1" w:styleId="Heading1Char">
    <w:name w:val="Heading 1 Char"/>
    <w:basedOn w:val="DefaultParagraphFont"/>
    <w:link w:val="Heading1"/>
    <w:rsid w:val="00E418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8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8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1827"/>
    <w:rPr>
      <w:b/>
      <w:spacing w:val="0"/>
    </w:rPr>
  </w:style>
  <w:style w:type="paragraph" w:customStyle="1" w:styleId="SuperHeading">
    <w:name w:val="SuperHeading"/>
    <w:basedOn w:val="Normal"/>
    <w:rsid w:val="00E418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8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18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8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8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8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8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8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8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8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8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8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8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8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8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8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8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8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8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8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18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8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8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8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8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8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8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8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8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8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8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8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8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8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827"/>
    <w:rPr>
      <w:i/>
    </w:rPr>
  </w:style>
  <w:style w:type="paragraph" w:styleId="Caption">
    <w:name w:val="caption"/>
    <w:basedOn w:val="BodyText"/>
    <w:next w:val="Normal"/>
    <w:qFormat/>
    <w:rsid w:val="00E418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8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8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827"/>
  </w:style>
  <w:style w:type="paragraph" w:styleId="TableofFigures">
    <w:name w:val="table of figures"/>
    <w:basedOn w:val="Normal"/>
    <w:next w:val="Normal"/>
    <w:semiHidden/>
    <w:rsid w:val="00E418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8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1827"/>
    <w:rPr>
      <w:rFonts w:ascii="Wingdings" w:hAnsi="Wingdings"/>
    </w:rPr>
  </w:style>
  <w:style w:type="paragraph" w:customStyle="1" w:styleId="TableHeading">
    <w:name w:val="Table Heading"/>
    <w:basedOn w:val="HeadingBase"/>
    <w:rsid w:val="00E418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827"/>
    <w:rPr>
      <w:color w:val="0033CC"/>
      <w:u w:val="none"/>
    </w:rPr>
  </w:style>
  <w:style w:type="paragraph" w:customStyle="1" w:styleId="BodyTextRight">
    <w:name w:val="Body Text Right"/>
    <w:basedOn w:val="BodyText"/>
    <w:rsid w:val="00E418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8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8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8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8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8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827"/>
    <w:rPr>
      <w:sz w:val="32"/>
    </w:rPr>
  </w:style>
  <w:style w:type="paragraph" w:customStyle="1" w:styleId="HeadingProcedure">
    <w:name w:val="Heading Procedure"/>
    <w:basedOn w:val="HeadingBase"/>
    <w:next w:val="Normal"/>
    <w:rsid w:val="00E418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827"/>
    <w:pPr>
      <w:spacing w:before="60" w:after="60"/>
    </w:pPr>
  </w:style>
  <w:style w:type="paragraph" w:styleId="ListContinue">
    <w:name w:val="List Continue"/>
    <w:basedOn w:val="List"/>
    <w:rsid w:val="00E41827"/>
    <w:pPr>
      <w:ind w:firstLine="0"/>
    </w:pPr>
  </w:style>
  <w:style w:type="paragraph" w:customStyle="1" w:styleId="ListNote">
    <w:name w:val="List Note"/>
    <w:basedOn w:val="List"/>
    <w:rsid w:val="00E418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8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8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827"/>
    <w:rPr>
      <w:rFonts w:ascii="Courier New" w:hAnsi="Courier New"/>
    </w:rPr>
  </w:style>
  <w:style w:type="paragraph" w:customStyle="1" w:styleId="NoteBullet">
    <w:name w:val="Note Bullet"/>
    <w:basedOn w:val="Note"/>
    <w:rsid w:val="00E418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8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8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8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8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18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8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827"/>
    <w:rPr>
      <w:b/>
      <w:smallCaps/>
    </w:rPr>
  </w:style>
  <w:style w:type="paragraph" w:customStyle="1" w:styleId="TableListNumber">
    <w:name w:val="Table List Number"/>
    <w:basedOn w:val="ListNumber"/>
    <w:rsid w:val="00E418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8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827"/>
    <w:pPr>
      <w:numPr>
        <w:numId w:val="7"/>
      </w:numPr>
    </w:pPr>
  </w:style>
  <w:style w:type="paragraph" w:customStyle="1" w:styleId="ListAlpha2">
    <w:name w:val="List Alpha 2"/>
    <w:basedOn w:val="List2"/>
    <w:rsid w:val="00E41827"/>
    <w:pPr>
      <w:numPr>
        <w:numId w:val="6"/>
      </w:numPr>
    </w:pPr>
  </w:style>
  <w:style w:type="paragraph" w:styleId="List2">
    <w:name w:val="List 2"/>
    <w:basedOn w:val="BodyText"/>
    <w:rsid w:val="00E418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8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8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8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8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8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1827"/>
    <w:pPr>
      <w:numPr>
        <w:numId w:val="2"/>
      </w:numPr>
    </w:pPr>
  </w:style>
  <w:style w:type="paragraph" w:styleId="ListContinue2">
    <w:name w:val="List Continue 2"/>
    <w:basedOn w:val="List2"/>
    <w:rsid w:val="00E41827"/>
    <w:pPr>
      <w:ind w:firstLine="0"/>
    </w:pPr>
  </w:style>
  <w:style w:type="paragraph" w:styleId="ListContinue3">
    <w:name w:val="List Continue 3"/>
    <w:basedOn w:val="List3"/>
    <w:rsid w:val="00E41827"/>
    <w:pPr>
      <w:ind w:left="1021" w:firstLine="0"/>
    </w:pPr>
  </w:style>
  <w:style w:type="paragraph" w:styleId="ListContinue4">
    <w:name w:val="List Continue 4"/>
    <w:basedOn w:val="List4"/>
    <w:rsid w:val="00E41827"/>
    <w:pPr>
      <w:ind w:firstLine="0"/>
    </w:pPr>
  </w:style>
  <w:style w:type="paragraph" w:styleId="ListContinue5">
    <w:name w:val="List Continue 5"/>
    <w:basedOn w:val="List5"/>
    <w:rsid w:val="00E41827"/>
    <w:pPr>
      <w:ind w:firstLine="0"/>
    </w:pPr>
  </w:style>
  <w:style w:type="paragraph" w:styleId="ListNumber3">
    <w:name w:val="List Number 3"/>
    <w:basedOn w:val="List3"/>
    <w:rsid w:val="00E41827"/>
    <w:pPr>
      <w:numPr>
        <w:numId w:val="3"/>
      </w:numPr>
    </w:pPr>
  </w:style>
  <w:style w:type="paragraph" w:styleId="ListNumber4">
    <w:name w:val="List Number 4"/>
    <w:basedOn w:val="List4"/>
    <w:rsid w:val="00E41827"/>
    <w:pPr>
      <w:numPr>
        <w:numId w:val="4"/>
      </w:numPr>
    </w:pPr>
  </w:style>
  <w:style w:type="paragraph" w:styleId="ListNumber5">
    <w:name w:val="List Number 5"/>
    <w:basedOn w:val="List5"/>
    <w:rsid w:val="00E41827"/>
    <w:pPr>
      <w:numPr>
        <w:numId w:val="5"/>
      </w:numPr>
    </w:pPr>
  </w:style>
  <w:style w:type="paragraph" w:styleId="BlockText">
    <w:name w:val="Block Text"/>
    <w:basedOn w:val="Normal"/>
    <w:rsid w:val="00E418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8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827"/>
    <w:rPr>
      <w:sz w:val="16"/>
      <w:vertAlign w:val="superscript"/>
    </w:rPr>
  </w:style>
  <w:style w:type="character" w:customStyle="1" w:styleId="Symbols">
    <w:name w:val="Symbols"/>
    <w:basedOn w:val="DefaultParagraphFont"/>
    <w:rsid w:val="00E41827"/>
    <w:rPr>
      <w:rFonts w:ascii="Symbol" w:hAnsi="Symbol"/>
    </w:rPr>
  </w:style>
  <w:style w:type="character" w:customStyle="1" w:styleId="MenuOptions">
    <w:name w:val="Menu Options"/>
    <w:basedOn w:val="DefaultParagraphFont"/>
    <w:rsid w:val="00E418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827"/>
    <w:rPr>
      <w:b/>
    </w:rPr>
  </w:style>
  <w:style w:type="character" w:customStyle="1" w:styleId="Underlined">
    <w:name w:val="Underlined"/>
    <w:basedOn w:val="DefaultParagraphFont"/>
    <w:rsid w:val="00E41827"/>
    <w:rPr>
      <w:u w:val="single"/>
    </w:rPr>
  </w:style>
  <w:style w:type="paragraph" w:customStyle="1" w:styleId="TableBodyTextRight">
    <w:name w:val="Table Body Text Right"/>
    <w:basedOn w:val="TableBodyText"/>
    <w:rsid w:val="00E418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827"/>
    <w:rPr>
      <w:sz w:val="18"/>
    </w:rPr>
  </w:style>
  <w:style w:type="paragraph" w:customStyle="1" w:styleId="BodySmallRight">
    <w:name w:val="Body Small Right"/>
    <w:basedOn w:val="BodyTextRight"/>
    <w:rsid w:val="00E41827"/>
    <w:rPr>
      <w:sz w:val="18"/>
      <w:szCs w:val="18"/>
    </w:rPr>
  </w:style>
  <w:style w:type="paragraph" w:customStyle="1" w:styleId="MarginEdition">
    <w:name w:val="Margin Edition"/>
    <w:basedOn w:val="MarginNote"/>
    <w:rsid w:val="00E418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827"/>
    <w:rPr>
      <w:sz w:val="2"/>
      <w:szCs w:val="2"/>
    </w:rPr>
  </w:style>
  <w:style w:type="character" w:customStyle="1" w:styleId="Small">
    <w:name w:val="Small"/>
    <w:basedOn w:val="DefaultParagraphFont"/>
    <w:rsid w:val="00E41827"/>
    <w:rPr>
      <w:sz w:val="16"/>
    </w:rPr>
  </w:style>
  <w:style w:type="paragraph" w:customStyle="1" w:styleId="WideTable">
    <w:name w:val="Wide Table"/>
    <w:basedOn w:val="Normal"/>
    <w:rsid w:val="00E418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827"/>
  </w:style>
  <w:style w:type="paragraph" w:styleId="Quote">
    <w:name w:val="Quote"/>
    <w:basedOn w:val="Heading1"/>
    <w:link w:val="QuoteChar"/>
    <w:qFormat/>
    <w:rsid w:val="00E418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8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827"/>
    <w:pPr>
      <w:pageBreakBefore/>
    </w:pPr>
  </w:style>
  <w:style w:type="paragraph" w:customStyle="1" w:styleId="Border">
    <w:name w:val="Border"/>
    <w:basedOn w:val="Normal"/>
    <w:qFormat/>
    <w:rsid w:val="00E418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8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8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8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8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8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8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8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8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827"/>
    <w:rPr>
      <w:u w:val="single"/>
    </w:rPr>
  </w:style>
  <w:style w:type="character" w:customStyle="1" w:styleId="BoldandItalics">
    <w:name w:val="Bold and Italics"/>
    <w:qFormat/>
    <w:rsid w:val="00E41827"/>
    <w:rPr>
      <w:b/>
      <w:i/>
      <w:u w:val="none"/>
    </w:rPr>
  </w:style>
  <w:style w:type="paragraph" w:styleId="BalloonText">
    <w:name w:val="Balloon Text"/>
    <w:basedOn w:val="Normal"/>
    <w:link w:val="BalloonTextChar"/>
    <w:rsid w:val="00E418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8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8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8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8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8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827"/>
    <w:pPr>
      <w:spacing w:before="0" w:after="0"/>
    </w:pPr>
  </w:style>
  <w:style w:type="paragraph" w:customStyle="1" w:styleId="BodyTextBold">
    <w:name w:val="Body Text Bold"/>
    <w:basedOn w:val="BodyText"/>
    <w:qFormat/>
    <w:rsid w:val="00E41827"/>
    <w:rPr>
      <w:b/>
    </w:rPr>
  </w:style>
  <w:style w:type="character" w:styleId="Hyperlink">
    <w:name w:val="Hyperlink"/>
    <w:basedOn w:val="DefaultParagraphFont"/>
    <w:uiPriority w:val="99"/>
    <w:unhideWhenUsed/>
    <w:rsid w:val="00656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3530</Characters>
  <Application>Microsoft Office Word</Application>
  <DocSecurity>0</DocSecurity>
  <Lines>168</Lines>
  <Paragraphs>84</Paragraphs>
  <ScaleCrop>false</ScaleCrop>
  <Company>Author-it Software Corporation Ltd.</Company>
  <LinksUpToDate>false</LinksUpToDate>
  <CharactersWithSpaces>3981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TLIL0008 Coordinate the erection and dismantling of temporary facilities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