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6F7" w:rsidP="00F57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TLIL0004 Apply conflict and grievance resolution strategies</w:t>
      </w:r>
      <w:r>
        <w:fldChar w:fldCharType="end"/>
      </w:r>
    </w:p>
    <w:p w:rsidR="00F576F7" w:rsidP="00F576F7">
      <w:pPr>
        <w:pStyle w:val="Version"/>
        <w:sectPr w:rsidSect="00163E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ECE" w:rsidP="00163ECE">
      <w:pPr>
        <w:pStyle w:val="SuperHeading"/>
      </w:pPr>
      <w:r w:rsidRPr="00163ECE">
        <w:t>TLIL0004 Apply conflict and grievance resolution strategies</w:t>
      </w:r>
    </w:p>
    <w:p w:rsidR="00000000" w:rsidRPr="00163ECE" w:rsidP="00163ECE">
      <w:pPr>
        <w:pStyle w:val="Heading1"/>
      </w:pPr>
      <w:bookmarkStart w:id="1" w:name="O_1194385"/>
      <w:bookmarkEnd w:id="1"/>
      <w:r w:rsidRPr="00163E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rPr>
                <w:rStyle w:val="SpecialBold"/>
              </w:rPr>
              <w:t xml:space="preserve">Release 1. </w:t>
            </w:r>
            <w:r w:rsidRPr="00163ECE">
              <w:t>This is the first release of this unit of competency in the TLI Transport and Logistics Training Package.</w:t>
            </w:r>
          </w:p>
        </w:tc>
      </w:tr>
    </w:tbl>
    <w:p w:rsidR="00000000" w:rsidRPr="00163ECE" w:rsidP="00163ECE">
      <w:pPr>
        <w:pStyle w:val="NoPaddingFontSize1"/>
      </w:pPr>
    </w:p>
    <w:p w:rsidR="00000000" w:rsidRPr="00163ECE" w:rsidP="00163ECE">
      <w:pPr>
        <w:pStyle w:val="AllowPageBreak"/>
      </w:pPr>
    </w:p>
    <w:p w:rsidR="00000000" w:rsidRPr="00163ECE" w:rsidP="00163ECE">
      <w:pPr>
        <w:pStyle w:val="Heading1"/>
      </w:pPr>
      <w:bookmarkStart w:id="2" w:name="O_1194386"/>
      <w:bookmarkEnd w:id="2"/>
      <w:r w:rsidRPr="00163E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t>This unit involves the skills and knowledge required to apply confl</w:t>
            </w:r>
            <w:r w:rsidRPr="00163ECE">
              <w:t xml:space="preserve">ict and grievance resolution strategies. </w:t>
            </w:r>
          </w:p>
          <w:p w:rsidR="00000000" w:rsidRPr="00163ECE" w:rsidP="00163ECE">
            <w:pPr>
              <w:pStyle w:val="BodyText"/>
            </w:pPr>
            <w:r w:rsidRPr="00163ECE">
              <w:t xml:space="preserve">It includes identifying potential conflict situations, developing and implementing appropriate conflict resolution strategies and using effective communication skills. </w:t>
            </w:r>
          </w:p>
          <w:p w:rsidR="00000000" w:rsidRPr="00163ECE" w:rsidP="00163ECE">
            <w:pPr>
              <w:pStyle w:val="BodyText"/>
            </w:pPr>
            <w:r w:rsidRPr="00163ECE">
              <w:t>Work is performed under minimum supervision w</w:t>
            </w:r>
            <w:r w:rsidRPr="00163ECE">
              <w:t>ith general guidance on progress and outcomes. Work involves discretion and judgement for self and others when managing and resolving conflict or grievances internal and external to the workplace.</w:t>
            </w:r>
          </w:p>
          <w:p w:rsidR="00000000" w:rsidRPr="00163ECE" w:rsidP="00163ECE">
            <w:pPr>
              <w:pStyle w:val="BodyText"/>
            </w:pPr>
            <w:r w:rsidRPr="00163ECE">
              <w:t>No licensing, legislative or certification requirements app</w:t>
            </w:r>
            <w:r w:rsidRPr="00163ECE">
              <w:t>ly to this unit at the time of publication.</w:t>
            </w:r>
          </w:p>
        </w:tc>
      </w:tr>
    </w:tbl>
    <w:p w:rsidR="00000000" w:rsidRPr="00163ECE" w:rsidP="00163ECE">
      <w:pPr>
        <w:pStyle w:val="NoPaddingFontSize1"/>
      </w:pPr>
    </w:p>
    <w:p w:rsidR="00000000" w:rsidRPr="00163ECE" w:rsidP="00163ECE">
      <w:pPr>
        <w:pStyle w:val="AllowPageBreak"/>
      </w:pPr>
    </w:p>
    <w:p w:rsidR="00000000" w:rsidRPr="00163ECE" w:rsidP="00163ECE">
      <w:pPr>
        <w:pStyle w:val="Heading1"/>
      </w:pPr>
      <w:bookmarkStart w:id="3" w:name="O_1194387"/>
      <w:bookmarkEnd w:id="3"/>
      <w:r w:rsidRPr="00163EC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t>Not applicable.</w:t>
            </w:r>
          </w:p>
        </w:tc>
      </w:tr>
    </w:tbl>
    <w:p w:rsidR="00000000" w:rsidRPr="00163ECE" w:rsidP="00163ECE">
      <w:pPr>
        <w:pStyle w:val="NoPaddingFontSize1"/>
      </w:pPr>
    </w:p>
    <w:p w:rsidR="00000000" w:rsidRPr="00163ECE" w:rsidP="00163ECE">
      <w:pPr>
        <w:pStyle w:val="AllowPageBreak"/>
      </w:pPr>
    </w:p>
    <w:p w:rsidR="00000000" w:rsidRPr="00163ECE" w:rsidP="00163ECE">
      <w:pPr>
        <w:pStyle w:val="Heading1"/>
      </w:pPr>
      <w:bookmarkStart w:id="4" w:name="O_1194388"/>
      <w:bookmarkEnd w:id="4"/>
      <w:r w:rsidRPr="00163E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t>L – Resource Management.</w:t>
            </w:r>
          </w:p>
        </w:tc>
      </w:tr>
    </w:tbl>
    <w:p w:rsidR="00000000" w:rsidRPr="00163ECE" w:rsidP="00163ECE">
      <w:pPr>
        <w:pStyle w:val="NoPaddingFontSize1"/>
      </w:pPr>
    </w:p>
    <w:p w:rsidR="00000000" w:rsidRPr="00163ECE" w:rsidP="00163ECE">
      <w:pPr>
        <w:pStyle w:val="AllowPageBreak"/>
      </w:pPr>
    </w:p>
    <w:p w:rsidR="00000000" w:rsidRPr="00163ECE" w:rsidP="00163ECE">
      <w:pPr>
        <w:pStyle w:val="Heading1"/>
      </w:pPr>
      <w:bookmarkStart w:id="5" w:name="O_1194389"/>
      <w:bookmarkEnd w:id="5"/>
      <w:r w:rsidRPr="00163E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t>Not applicable.</w:t>
            </w:r>
          </w:p>
        </w:tc>
      </w:tr>
    </w:tbl>
    <w:p w:rsidR="00000000" w:rsidRPr="00163ECE" w:rsidP="00163ECE">
      <w:pPr>
        <w:pStyle w:val="NoPaddingFontSize1"/>
      </w:pPr>
    </w:p>
    <w:p w:rsidR="00000000" w:rsidRPr="00163ECE" w:rsidP="00163ECE">
      <w:pPr>
        <w:pStyle w:val="AllowPageBreak"/>
      </w:pPr>
    </w:p>
    <w:p w:rsidR="00000000" w:rsidRPr="00163ECE" w:rsidP="00163ECE">
      <w:pPr>
        <w:pStyle w:val="Heading1"/>
      </w:pPr>
      <w:bookmarkStart w:id="6" w:name="O_1194390"/>
      <w:bookmarkEnd w:id="6"/>
      <w:r w:rsidRPr="00163EC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250"/>
        <w:gridCol w:w="427"/>
        <w:gridCol w:w="6460"/>
      </w:tblGrid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rPr>
                <w:rStyle w:val="SpecialBold"/>
              </w:rPr>
              <w:t>ELEMENTS</w:t>
            </w:r>
          </w:p>
        </w:tc>
        <w:tc>
          <w:tcPr>
            <w:tcW w:w="68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PERFORMANCE CRITERIA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Elements describe the essential outcomes.</w:t>
            </w:r>
          </w:p>
        </w:tc>
        <w:tc>
          <w:tcPr>
            <w:tcW w:w="68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Performance criteria describe the performance needed to demonstrate achievement of the element.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rPr>
                <w:rStyle w:val="SpecialBold"/>
              </w:rPr>
              <w:t>1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rPr>
                <w:rStyle w:val="SpecialBold"/>
              </w:rPr>
              <w:t>Identify potential conflict situations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1.1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Signs and stages of conflict or grievance are recognised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1.2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Possible causes of conflict or grievance are identified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1.3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Factors and issues relevant to conflict or grievance are clarified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1.4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Conversations are facilitated to support the identification of issues and potential solutions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rPr>
                <w:rStyle w:val="SpecialBold"/>
              </w:rPr>
              <w:t>2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rPr>
                <w:rStyle w:val="SpecialBold"/>
              </w:rPr>
              <w:t>Develop and implement conflict resolution strategies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2.1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Strategies for dealing with conflict or grievance are developed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2.2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Options for resolving the conflict or grievance are presented to relevant stakeholders to enable constructive responses to be negotiated and established relationships to continue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2.3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Agreed strategies are recorded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2.4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Strategies are implemented to re</w:t>
            </w:r>
            <w:r w:rsidRPr="00163ECE">
              <w:t>solve the source of conflict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2.5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Outcomes of the process are monitored to ensure objectives continue to be met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rPr>
                <w:rStyle w:val="SpecialBold"/>
              </w:rPr>
              <w:t>3</w:t>
            </w:r>
          </w:p>
        </w:tc>
        <w:tc>
          <w:tcPr>
            <w:tcW w:w="22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rPr>
                <w:rStyle w:val="SpecialBold"/>
              </w:rPr>
              <w:t>Use effective communication skills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3.1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Effective verbal and non-verbal communication are used during negotiations, including body language, questioning, language style, active listening and reflection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3.2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t>Feedback is given assertively and received non-defensively during negotiations recognis</w:t>
            </w:r>
            <w:r w:rsidRPr="00163ECE">
              <w:t>ing cultural preferences in the workplace, including modes of behaviour and interactions with others</w:t>
            </w:r>
          </w:p>
        </w:tc>
      </w:tr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CE">
            <w:pPr>
              <w:pStyle w:val="BodyText"/>
              <w:rPr>
                <w:lang w:val="en-NZ"/>
              </w:rPr>
            </w:pPr>
            <w:r w:rsidRPr="00163ECE">
              <w:rPr>
                <w:rStyle w:val="SpecialBold"/>
              </w:rPr>
              <w:t>3.3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t>Shared understanding is created throughout the conflict or grievance resolution processes via facilitated conversations and written communications</w:t>
            </w:r>
          </w:p>
        </w:tc>
      </w:tr>
    </w:tbl>
    <w:p w:rsidR="00000000" w:rsidRPr="00163ECE" w:rsidP="00163ECE">
      <w:pPr>
        <w:pStyle w:val="NoPaddingFontSize1"/>
      </w:pPr>
    </w:p>
    <w:p w:rsidR="00000000" w:rsidRPr="00163ECE" w:rsidP="00163ECE">
      <w:pPr>
        <w:pStyle w:val="AllowPageBreak"/>
      </w:pPr>
    </w:p>
    <w:p w:rsidR="00000000" w:rsidRPr="00163ECE" w:rsidP="00163ECE">
      <w:pPr>
        <w:pStyle w:val="Heading1"/>
      </w:pPr>
      <w:bookmarkStart w:id="7" w:name="O_1194391"/>
      <w:bookmarkEnd w:id="7"/>
      <w:r w:rsidRPr="00163E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t>Foundation skills essential to performance are explicit in the performance criteria of this unit of competency.</w:t>
            </w:r>
          </w:p>
        </w:tc>
      </w:tr>
    </w:tbl>
    <w:p w:rsidR="00000000" w:rsidRPr="00163ECE" w:rsidP="00163ECE">
      <w:pPr>
        <w:pStyle w:val="NoPaddingFontSize1"/>
      </w:pPr>
    </w:p>
    <w:p w:rsidR="00000000" w:rsidRPr="00163ECE" w:rsidP="00163ECE">
      <w:pPr>
        <w:pStyle w:val="AllowPageBreak"/>
      </w:pPr>
    </w:p>
    <w:p w:rsidR="00000000" w:rsidRPr="00163ECE" w:rsidP="00163ECE">
      <w:pPr>
        <w:pStyle w:val="Heading1"/>
      </w:pPr>
      <w:bookmarkStart w:id="8" w:name="O_1194392"/>
      <w:bookmarkEnd w:id="8"/>
      <w:r w:rsidRPr="00163EC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t>Range is restricted to essential operating conditions and any oth</w:t>
            </w:r>
            <w:r w:rsidRPr="00163ECE">
              <w:t>er variables essential to the work environment.</w:t>
            </w:r>
          </w:p>
          <w:p w:rsidR="00000000" w:rsidRPr="00163ECE" w:rsidP="00163ECE">
            <w:pPr>
              <w:pStyle w:val="BodyText"/>
            </w:pPr>
            <w:r w:rsidRPr="00163ECE">
              <w:t>Non-essential conditions can be found in the TLI Transport and Logistics Training Package Companion Volume Implementation Guide.</w:t>
            </w:r>
          </w:p>
        </w:tc>
      </w:tr>
    </w:tbl>
    <w:p w:rsidR="00000000" w:rsidRPr="00163ECE" w:rsidP="00163ECE">
      <w:pPr>
        <w:pStyle w:val="NoPaddingFontSize1"/>
      </w:pPr>
    </w:p>
    <w:p w:rsidR="00000000" w:rsidRPr="00163ECE" w:rsidP="00163ECE">
      <w:pPr>
        <w:pStyle w:val="AllowPageBreak"/>
      </w:pPr>
    </w:p>
    <w:p w:rsidR="00000000" w:rsidRPr="00163ECE" w:rsidP="00163ECE">
      <w:pPr>
        <w:pStyle w:val="Heading1"/>
      </w:pPr>
      <w:bookmarkStart w:id="9" w:name="O_1194393"/>
      <w:bookmarkEnd w:id="9"/>
      <w:r w:rsidRPr="00163E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3E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CE" w:rsidP="00163ECE">
            <w:pPr>
              <w:pStyle w:val="BodyText"/>
            </w:pPr>
            <w:r w:rsidRPr="00163ECE">
              <w:t xml:space="preserve">This unit replaces and is not equivalent to TLIL4005 Apply conflict/grievance resolution </w:t>
            </w:r>
            <w:r w:rsidRPr="00163ECE">
              <w:t>strategies.</w:t>
            </w:r>
          </w:p>
        </w:tc>
      </w:tr>
    </w:tbl>
    <w:p w:rsidR="00000000" w:rsidRPr="00163ECE" w:rsidP="00163ECE">
      <w:pPr>
        <w:pStyle w:val="NoPaddingFontSize1"/>
      </w:pPr>
    </w:p>
    <w:p w:rsidR="00000000" w:rsidRPr="00163ECE" w:rsidP="00163ECE">
      <w:pPr>
        <w:pStyle w:val="AllowPageBreak"/>
      </w:pPr>
    </w:p>
    <w:p w:rsidR="00000000" w:rsidRPr="00163ECE" w:rsidP="00163ECE">
      <w:pPr>
        <w:pStyle w:val="Heading1"/>
      </w:pPr>
      <w:bookmarkStart w:id="10" w:name="O_1194400"/>
      <w:bookmarkEnd w:id="10"/>
      <w:r w:rsidRPr="00163ECE">
        <w:t>Links</w:t>
      </w:r>
    </w:p>
    <w:p w:rsidR="00000000" w:rsidRPr="00163ECE" w:rsidP="00F576F7">
      <w:pPr>
        <w:pStyle w:val="BodyText"/>
      </w:pPr>
      <w:r w:rsidRPr="00163E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01BC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63ECE" w:rsidP="00163ECE"/>
    <w:sectPr w:rsidSect="00163E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CE" w:rsidRPr="00F576F7" w:rsidP="00F57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F7" w:rsidP="00163E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6F7" w:rsidP="00163E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76F7" w:rsidP="00163E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ECE" w:rsidRPr="00F576F7" w:rsidP="00F57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F7" w:rsidRPr="002D2AF8" w:rsidP="00163E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TLIL0004 Apply conflict and grievance resolution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576F7" w:rsidP="00163E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E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E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E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E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E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E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E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E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E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E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E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ECE"/>
  </w:style>
  <w:style w:type="character" w:customStyle="1" w:styleId="Heading1Char">
    <w:name w:val="Heading 1 Char"/>
    <w:basedOn w:val="DefaultParagraphFont"/>
    <w:link w:val="Heading1"/>
    <w:rsid w:val="00163E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E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E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3ECE"/>
    <w:rPr>
      <w:b/>
      <w:spacing w:val="0"/>
    </w:rPr>
  </w:style>
  <w:style w:type="paragraph" w:customStyle="1" w:styleId="SuperHeading">
    <w:name w:val="SuperHeading"/>
    <w:basedOn w:val="Normal"/>
    <w:rsid w:val="00163E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E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3E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E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E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E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E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E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E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E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E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E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E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E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E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E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E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3E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3E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E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E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E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E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E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E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E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E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E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E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E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E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E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ECE"/>
    <w:rPr>
      <w:i/>
    </w:rPr>
  </w:style>
  <w:style w:type="paragraph" w:styleId="Caption">
    <w:name w:val="caption"/>
    <w:basedOn w:val="BodyText"/>
    <w:next w:val="Normal"/>
    <w:qFormat/>
    <w:rsid w:val="00163E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E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E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ECE"/>
  </w:style>
  <w:style w:type="paragraph" w:styleId="TableofFigures">
    <w:name w:val="table of figures"/>
    <w:basedOn w:val="Normal"/>
    <w:next w:val="Normal"/>
    <w:semiHidden/>
    <w:rsid w:val="00163E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E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3ECE"/>
    <w:rPr>
      <w:rFonts w:ascii="Wingdings" w:hAnsi="Wingdings"/>
    </w:rPr>
  </w:style>
  <w:style w:type="paragraph" w:customStyle="1" w:styleId="TableHeading">
    <w:name w:val="Table Heading"/>
    <w:basedOn w:val="HeadingBase"/>
    <w:rsid w:val="00163E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ECE"/>
    <w:rPr>
      <w:color w:val="0033CC"/>
      <w:u w:val="none"/>
    </w:rPr>
  </w:style>
  <w:style w:type="paragraph" w:customStyle="1" w:styleId="BodyTextRight">
    <w:name w:val="Body Text Right"/>
    <w:basedOn w:val="BodyText"/>
    <w:rsid w:val="00163E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E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E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E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E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E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ECE"/>
    <w:rPr>
      <w:sz w:val="32"/>
    </w:rPr>
  </w:style>
  <w:style w:type="paragraph" w:customStyle="1" w:styleId="HeadingProcedure">
    <w:name w:val="Heading Procedure"/>
    <w:basedOn w:val="HeadingBase"/>
    <w:next w:val="Normal"/>
    <w:rsid w:val="00163E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ECE"/>
    <w:pPr>
      <w:spacing w:before="60" w:after="60"/>
    </w:pPr>
  </w:style>
  <w:style w:type="paragraph" w:styleId="ListContinue">
    <w:name w:val="List Continue"/>
    <w:basedOn w:val="List"/>
    <w:rsid w:val="00163ECE"/>
    <w:pPr>
      <w:ind w:firstLine="0"/>
    </w:pPr>
  </w:style>
  <w:style w:type="paragraph" w:customStyle="1" w:styleId="ListNote">
    <w:name w:val="List Note"/>
    <w:basedOn w:val="List"/>
    <w:rsid w:val="00163E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E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E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ECE"/>
    <w:rPr>
      <w:rFonts w:ascii="Courier New" w:hAnsi="Courier New"/>
    </w:rPr>
  </w:style>
  <w:style w:type="paragraph" w:customStyle="1" w:styleId="NoteBullet">
    <w:name w:val="Note Bullet"/>
    <w:basedOn w:val="Note"/>
    <w:rsid w:val="00163E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E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E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E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E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3E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E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ECE"/>
    <w:rPr>
      <w:b/>
      <w:smallCaps/>
    </w:rPr>
  </w:style>
  <w:style w:type="paragraph" w:customStyle="1" w:styleId="TableListNumber">
    <w:name w:val="Table List Number"/>
    <w:basedOn w:val="ListNumber"/>
    <w:rsid w:val="00163E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E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ECE"/>
    <w:pPr>
      <w:numPr>
        <w:numId w:val="7"/>
      </w:numPr>
    </w:pPr>
  </w:style>
  <w:style w:type="paragraph" w:customStyle="1" w:styleId="ListAlpha2">
    <w:name w:val="List Alpha 2"/>
    <w:basedOn w:val="List2"/>
    <w:rsid w:val="00163ECE"/>
    <w:pPr>
      <w:numPr>
        <w:numId w:val="6"/>
      </w:numPr>
    </w:pPr>
  </w:style>
  <w:style w:type="paragraph" w:styleId="List2">
    <w:name w:val="List 2"/>
    <w:basedOn w:val="BodyText"/>
    <w:rsid w:val="00163E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E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E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E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E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E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3ECE"/>
    <w:pPr>
      <w:numPr>
        <w:numId w:val="2"/>
      </w:numPr>
    </w:pPr>
  </w:style>
  <w:style w:type="paragraph" w:styleId="ListContinue2">
    <w:name w:val="List Continue 2"/>
    <w:basedOn w:val="List2"/>
    <w:rsid w:val="00163ECE"/>
    <w:pPr>
      <w:ind w:firstLine="0"/>
    </w:pPr>
  </w:style>
  <w:style w:type="paragraph" w:styleId="ListContinue3">
    <w:name w:val="List Continue 3"/>
    <w:basedOn w:val="List3"/>
    <w:rsid w:val="00163ECE"/>
    <w:pPr>
      <w:ind w:left="1021" w:firstLine="0"/>
    </w:pPr>
  </w:style>
  <w:style w:type="paragraph" w:styleId="ListContinue4">
    <w:name w:val="List Continue 4"/>
    <w:basedOn w:val="List4"/>
    <w:rsid w:val="00163ECE"/>
    <w:pPr>
      <w:ind w:firstLine="0"/>
    </w:pPr>
  </w:style>
  <w:style w:type="paragraph" w:styleId="ListContinue5">
    <w:name w:val="List Continue 5"/>
    <w:basedOn w:val="List5"/>
    <w:rsid w:val="00163ECE"/>
    <w:pPr>
      <w:ind w:firstLine="0"/>
    </w:pPr>
  </w:style>
  <w:style w:type="paragraph" w:styleId="ListNumber3">
    <w:name w:val="List Number 3"/>
    <w:basedOn w:val="List3"/>
    <w:rsid w:val="00163ECE"/>
    <w:pPr>
      <w:numPr>
        <w:numId w:val="3"/>
      </w:numPr>
    </w:pPr>
  </w:style>
  <w:style w:type="paragraph" w:styleId="ListNumber4">
    <w:name w:val="List Number 4"/>
    <w:basedOn w:val="List4"/>
    <w:rsid w:val="00163ECE"/>
    <w:pPr>
      <w:numPr>
        <w:numId w:val="4"/>
      </w:numPr>
    </w:pPr>
  </w:style>
  <w:style w:type="paragraph" w:styleId="ListNumber5">
    <w:name w:val="List Number 5"/>
    <w:basedOn w:val="List5"/>
    <w:rsid w:val="00163ECE"/>
    <w:pPr>
      <w:numPr>
        <w:numId w:val="5"/>
      </w:numPr>
    </w:pPr>
  </w:style>
  <w:style w:type="paragraph" w:styleId="BlockText">
    <w:name w:val="Block Text"/>
    <w:basedOn w:val="Normal"/>
    <w:rsid w:val="00163E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E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ECE"/>
    <w:rPr>
      <w:sz w:val="16"/>
      <w:vertAlign w:val="superscript"/>
    </w:rPr>
  </w:style>
  <w:style w:type="character" w:customStyle="1" w:styleId="Symbols">
    <w:name w:val="Symbols"/>
    <w:basedOn w:val="DefaultParagraphFont"/>
    <w:rsid w:val="00163ECE"/>
    <w:rPr>
      <w:rFonts w:ascii="Symbol" w:hAnsi="Symbol"/>
    </w:rPr>
  </w:style>
  <w:style w:type="character" w:customStyle="1" w:styleId="MenuOptions">
    <w:name w:val="Menu Options"/>
    <w:basedOn w:val="DefaultParagraphFont"/>
    <w:rsid w:val="00163E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ECE"/>
    <w:rPr>
      <w:b/>
    </w:rPr>
  </w:style>
  <w:style w:type="character" w:customStyle="1" w:styleId="Underlined">
    <w:name w:val="Underlined"/>
    <w:basedOn w:val="DefaultParagraphFont"/>
    <w:rsid w:val="00163ECE"/>
    <w:rPr>
      <w:u w:val="single"/>
    </w:rPr>
  </w:style>
  <w:style w:type="paragraph" w:customStyle="1" w:styleId="TableBodyTextRight">
    <w:name w:val="Table Body Text Right"/>
    <w:basedOn w:val="TableBodyText"/>
    <w:rsid w:val="00163E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ECE"/>
    <w:rPr>
      <w:sz w:val="18"/>
    </w:rPr>
  </w:style>
  <w:style w:type="paragraph" w:customStyle="1" w:styleId="BodySmallRight">
    <w:name w:val="Body Small Right"/>
    <w:basedOn w:val="BodyTextRight"/>
    <w:rsid w:val="00163ECE"/>
    <w:rPr>
      <w:sz w:val="18"/>
      <w:szCs w:val="18"/>
    </w:rPr>
  </w:style>
  <w:style w:type="paragraph" w:customStyle="1" w:styleId="MarginEdition">
    <w:name w:val="Margin Edition"/>
    <w:basedOn w:val="MarginNote"/>
    <w:rsid w:val="00163E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ECE"/>
    <w:rPr>
      <w:sz w:val="2"/>
      <w:szCs w:val="2"/>
    </w:rPr>
  </w:style>
  <w:style w:type="character" w:customStyle="1" w:styleId="Small">
    <w:name w:val="Small"/>
    <w:basedOn w:val="DefaultParagraphFont"/>
    <w:rsid w:val="00163ECE"/>
    <w:rPr>
      <w:sz w:val="16"/>
    </w:rPr>
  </w:style>
  <w:style w:type="paragraph" w:customStyle="1" w:styleId="WideTable">
    <w:name w:val="Wide Table"/>
    <w:basedOn w:val="Normal"/>
    <w:rsid w:val="00163E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ECE"/>
  </w:style>
  <w:style w:type="paragraph" w:styleId="Quote">
    <w:name w:val="Quote"/>
    <w:basedOn w:val="Heading1"/>
    <w:link w:val="QuoteChar"/>
    <w:qFormat/>
    <w:rsid w:val="00163E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E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ECE"/>
    <w:pPr>
      <w:pageBreakBefore/>
    </w:pPr>
  </w:style>
  <w:style w:type="paragraph" w:customStyle="1" w:styleId="Border">
    <w:name w:val="Border"/>
    <w:basedOn w:val="Normal"/>
    <w:qFormat/>
    <w:rsid w:val="00163E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E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E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E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E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E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E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E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E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ECE"/>
    <w:rPr>
      <w:u w:val="single"/>
    </w:rPr>
  </w:style>
  <w:style w:type="character" w:customStyle="1" w:styleId="BoldandItalics">
    <w:name w:val="Bold and Italics"/>
    <w:qFormat/>
    <w:rsid w:val="00163ECE"/>
    <w:rPr>
      <w:b/>
      <w:i/>
      <w:u w:val="none"/>
    </w:rPr>
  </w:style>
  <w:style w:type="paragraph" w:styleId="BalloonText">
    <w:name w:val="Balloon Text"/>
    <w:basedOn w:val="Normal"/>
    <w:link w:val="BalloonTextChar"/>
    <w:rsid w:val="00163E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E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E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E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E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E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ECE"/>
    <w:pPr>
      <w:spacing w:before="0" w:after="0"/>
    </w:pPr>
  </w:style>
  <w:style w:type="paragraph" w:customStyle="1" w:styleId="BodyTextBold">
    <w:name w:val="Body Text Bold"/>
    <w:basedOn w:val="BodyText"/>
    <w:qFormat/>
    <w:rsid w:val="00163ECE"/>
    <w:rPr>
      <w:b/>
    </w:rPr>
  </w:style>
  <w:style w:type="character" w:styleId="Hyperlink">
    <w:name w:val="Hyperlink"/>
    <w:basedOn w:val="DefaultParagraphFont"/>
    <w:uiPriority w:val="99"/>
    <w:unhideWhenUsed/>
    <w:rsid w:val="00F57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3019</Characters>
  <Application>Microsoft Office Word</Application>
  <DocSecurity>0</DocSecurity>
  <Lines>137</Lines>
  <Paragraphs>73</Paragraphs>
  <ScaleCrop>false</ScaleCrop>
  <Company>Author-it Software Corporation Ltd.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TLIL0004 Apply conflict and grievance resolution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