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C10" w:rsidP="001D6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TLIJ5007 Conduct internal quality audits</w:t>
      </w:r>
      <w:r>
        <w:fldChar w:fldCharType="end"/>
      </w:r>
    </w:p>
    <w:p w:rsidR="001D6C10" w:rsidP="001D6C10">
      <w:pPr>
        <w:pStyle w:val="Version"/>
        <w:sectPr w:rsidSect="00EA7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9BC" w:rsidP="00EA79BC">
      <w:pPr>
        <w:pStyle w:val="SuperHeading"/>
      </w:pPr>
      <w:r w:rsidRPr="00EA79BC">
        <w:t>TLIJ5007 Conduct internal quality audits</w:t>
      </w:r>
    </w:p>
    <w:p w:rsidR="00000000" w:rsidRPr="00EA79BC" w:rsidP="00EA79BC">
      <w:pPr>
        <w:pStyle w:val="Heading1"/>
      </w:pPr>
      <w:bookmarkStart w:id="1" w:name="O_798718"/>
      <w:bookmarkEnd w:id="1"/>
      <w:r w:rsidRPr="00EA79BC">
        <w:t>Modification History</w:t>
      </w:r>
    </w:p>
    <w:p w:rsidR="001D6C10" w:rsidP="001D6C10">
      <w:pPr>
        <w:pStyle w:val="BodyText"/>
      </w:pPr>
      <w:r w:rsidRPr="00EA79BC">
        <w:t>Release 1. This is the first release of this unit of competency in the TLI Transport and Logistics Training Package.</w:t>
      </w:r>
    </w:p>
    <w:p w:rsidR="00000000" w:rsidRPr="00EA79BC" w:rsidP="00EA79BC">
      <w:pPr>
        <w:pStyle w:val="Heading1"/>
      </w:pPr>
      <w:bookmarkStart w:id="2" w:name="O_798719"/>
      <w:bookmarkEnd w:id="2"/>
      <w:r w:rsidRPr="00EA79BC">
        <w:t>Application</w:t>
      </w:r>
    </w:p>
    <w:p w:rsidR="00000000" w:rsidRPr="00EA79BC" w:rsidP="001D6C10">
      <w:pPr>
        <w:pStyle w:val="BodyText"/>
      </w:pPr>
      <w:r w:rsidRPr="00EA79BC">
        <w:t xml:space="preserve">This unit involves the skills and knowledge required to conduct internal quality audits </w:t>
      </w:r>
      <w:r w:rsidRPr="00EA79BC">
        <w:t xml:space="preserve">in accordance with relevant regulatory requirements, standards and codes of practice, including the Australian Dangerous Goods (ADG) Code and workplace procedures. </w:t>
      </w:r>
    </w:p>
    <w:p w:rsidR="00000000" w:rsidRPr="00EA79BC" w:rsidP="001D6C10">
      <w:pPr>
        <w:pStyle w:val="BodyText"/>
      </w:pPr>
      <w:r w:rsidRPr="00EA79BC">
        <w:t>It includes preparing and scheduling for an internal audit, conducting an audit, documentin</w:t>
      </w:r>
      <w:r w:rsidRPr="00EA79BC">
        <w:t>g findings and reporting audit results, in accordance with workplace requirements.</w:t>
      </w:r>
    </w:p>
    <w:p w:rsidR="00000000" w:rsidRPr="00EA79BC" w:rsidP="001D6C10">
      <w:pPr>
        <w:pStyle w:val="BodyText"/>
      </w:pPr>
      <w:r w:rsidRPr="00EA79BC">
        <w:t xml:space="preserve">Work is under general guidance on progress and outcomes. It requires discretion and judgement for self and others in planning and using resources, services and processes to </w:t>
      </w:r>
      <w:r w:rsidRPr="00EA79BC">
        <w:t>achieve required outcomes.</w:t>
      </w:r>
    </w:p>
    <w:p w:rsidR="00000000" w:rsidRPr="00EA79BC" w:rsidP="001D6C10">
      <w:pPr>
        <w:pStyle w:val="BodyText"/>
      </w:pPr>
      <w:r w:rsidRPr="00EA79BC">
        <w:t>The unit generally applies to those with responsibility for resource coordination and allocation, and who lead individuals or teams.</w:t>
      </w:r>
    </w:p>
    <w:p w:rsidR="001D6C10" w:rsidP="001D6C10">
      <w:pPr>
        <w:pStyle w:val="BodyText"/>
      </w:pPr>
      <w:r w:rsidRPr="00EA79BC">
        <w:t>No licensing, legislative or certification requirements apply to this unit at the time of public</w:t>
      </w:r>
      <w:r w:rsidRPr="00EA79BC">
        <w:t>ation.</w:t>
      </w:r>
    </w:p>
    <w:p w:rsidR="00000000" w:rsidRPr="00EA79BC" w:rsidP="00EA79BC">
      <w:pPr>
        <w:pStyle w:val="Heading1"/>
      </w:pPr>
      <w:bookmarkStart w:id="3" w:name="O_798720"/>
      <w:bookmarkEnd w:id="3"/>
      <w:r w:rsidRPr="00EA79BC">
        <w:t>Pre-requisite Unit</w:t>
      </w:r>
    </w:p>
    <w:p w:rsidR="00000000" w:rsidRPr="00EA79BC" w:rsidP="001D6C10">
      <w:pPr>
        <w:pStyle w:val="BodyText"/>
      </w:pPr>
      <w:r w:rsidRPr="00EA79BC">
        <w:t>Not applicable.</w:t>
      </w:r>
    </w:p>
    <w:p w:rsidR="00000000" w:rsidRPr="00EA79BC" w:rsidP="00EA79BC">
      <w:pPr>
        <w:pStyle w:val="Heading1"/>
      </w:pPr>
      <w:bookmarkStart w:id="4" w:name="O_798721"/>
      <w:bookmarkEnd w:id="4"/>
      <w:r w:rsidRPr="00EA79BC">
        <w:t>Competency Field</w:t>
      </w:r>
    </w:p>
    <w:p w:rsidR="001D6C10" w:rsidP="001D6C10">
      <w:pPr>
        <w:pStyle w:val="BodyText"/>
      </w:pPr>
      <w:r w:rsidRPr="00EA79BC">
        <w:t>J – Quality</w:t>
      </w:r>
    </w:p>
    <w:p w:rsidR="00000000" w:rsidRPr="00EA79BC" w:rsidP="00EA79BC">
      <w:pPr>
        <w:pStyle w:val="Heading1"/>
      </w:pPr>
      <w:bookmarkStart w:id="5" w:name="O_798722"/>
      <w:bookmarkEnd w:id="5"/>
      <w:r w:rsidRPr="00EA79BC">
        <w:t>Unit Sector</w:t>
      </w:r>
    </w:p>
    <w:p w:rsidR="00000000" w:rsidRPr="00EA79BC" w:rsidP="001D6C10">
      <w:pPr>
        <w:pStyle w:val="BodyText"/>
      </w:pPr>
      <w:r w:rsidRPr="00EA79BC">
        <w:t>Not applicable.</w:t>
      </w:r>
    </w:p>
    <w:p w:rsidR="00000000" w:rsidRPr="00EA79BC" w:rsidP="00EA79BC">
      <w:pPr>
        <w:pStyle w:val="Heading1"/>
      </w:pPr>
      <w:bookmarkStart w:id="6" w:name="O_798723"/>
      <w:bookmarkEnd w:id="6"/>
      <w:r w:rsidRPr="00EA79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3"/>
        <w:gridCol w:w="557"/>
        <w:gridCol w:w="6521"/>
      </w:tblGrid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9BC" w:rsidP="00EA79BC">
            <w:pPr>
              <w:pStyle w:val="BodyText"/>
            </w:pPr>
            <w:r w:rsidRPr="00EA79B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rPr>
                <w:rStyle w:val="SpecialBold"/>
              </w:rPr>
              <w:t>PERFORMANCE CRITERIA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 xml:space="preserve">Elements describe the </w:t>
            </w:r>
            <w:r w:rsidRPr="00EA79BC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 xml:space="preserve">Performance criteria describe the performance needed to demonstrate achievement of the </w:t>
            </w:r>
            <w:r w:rsidRPr="00EA79BC">
              <w:t>element.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9BC" w:rsidP="00EA79BC">
            <w:pPr>
              <w:pStyle w:val="BodyText"/>
            </w:pPr>
            <w:r w:rsidRPr="00EA79B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rPr>
                <w:rStyle w:val="SpecialBold"/>
              </w:rPr>
              <w:t>Prepare for internal audit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Benchmarks for the quality audit are established/identified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Procedures required to be audited are identified and implications of non-conformance are estimated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Technical and/or calibration requirements for audits are noted as required and appropriate support personnel are identified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Production schedule</w:t>
            </w:r>
            <w:r w:rsidRPr="00EA79BC">
              <w:t xml:space="preserve">s are examined to identify appropriate audit schedule 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9BC" w:rsidP="00EA79BC">
            <w:pPr>
              <w:pStyle w:val="BodyText"/>
            </w:pPr>
            <w:r w:rsidRPr="00EA79B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rPr>
                <w:rStyle w:val="SpecialBold"/>
              </w:rPr>
              <w:t>Schedule internal audit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Audit timings are planned to ensure relevant procedures are conducted within workplace agreed time intervals and timeframes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Audit frequency is adjusted based on i</w:t>
            </w:r>
            <w:r w:rsidRPr="00EA79BC">
              <w:t>mportance of activities to the business unit, process or workplace changes or customer feedback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Contact is made with appropriate personnel and relevant audit appointments are made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9BC" w:rsidP="00EA79BC">
            <w:pPr>
              <w:pStyle w:val="BodyText"/>
            </w:pPr>
            <w:r w:rsidRPr="00EA79B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rPr>
                <w:rStyle w:val="SpecialBold"/>
              </w:rPr>
              <w:t>Conduct audit and document findings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Methods for conducting the</w:t>
            </w:r>
            <w:r w:rsidRPr="00EA79BC">
              <w:t xml:space="preserve"> audit are established and confirmed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Observations and interviews are conducted with  required approved third party as required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Documentation of observations and interview responses is completed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9BC" w:rsidP="00EA79BC">
            <w:pPr>
              <w:pStyle w:val="BodyText"/>
            </w:pPr>
            <w:r w:rsidRPr="00EA79B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rPr>
                <w:rStyle w:val="SpecialBold"/>
              </w:rPr>
              <w:t>Report audit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Audit results are discussed with personnel associated with the procedures or standards audit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 xml:space="preserve">Compliances noted are indicated in audit reports </w:t>
            </w:r>
          </w:p>
        </w:tc>
      </w:tr>
      <w:tr w:rsidTr="001D6C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9BC">
            <w:pPr>
              <w:pStyle w:val="BodyText"/>
              <w:rPr>
                <w:lang w:val="en-NZ"/>
              </w:rPr>
            </w:pPr>
            <w:r w:rsidRPr="00EA79B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9BC" w:rsidP="00EA79BC">
            <w:pPr>
              <w:pStyle w:val="BodyText"/>
            </w:pPr>
            <w:r w:rsidRPr="00EA79BC">
              <w:t xml:space="preserve">Location, relevant standard or procedure, and supporting evidence are indicated in non-compliance reports </w:t>
            </w:r>
          </w:p>
        </w:tc>
      </w:tr>
    </w:tbl>
    <w:p w:rsidR="001D6C10" w:rsidP="00EA79BC">
      <w:pPr>
        <w:pStyle w:val="BodyText"/>
      </w:pPr>
    </w:p>
    <w:p w:rsidR="001D6C10" w:rsidP="00EA79BC">
      <w:pPr>
        <w:pStyle w:val="BodyText"/>
      </w:pPr>
    </w:p>
    <w:p w:rsidR="00000000" w:rsidRPr="00EA79BC" w:rsidP="00EA79BC">
      <w:pPr>
        <w:pStyle w:val="Heading1"/>
      </w:pPr>
      <w:bookmarkStart w:id="7" w:name="O_798724"/>
      <w:bookmarkEnd w:id="7"/>
      <w:r w:rsidRPr="00EA79BC">
        <w:t>Foundation Skills</w:t>
      </w:r>
    </w:p>
    <w:p w:rsidR="001D6C10" w:rsidP="001D6C10">
      <w:pPr>
        <w:pStyle w:val="BodyText"/>
      </w:pPr>
      <w:r w:rsidRPr="00EA79BC">
        <w:t>Foundation skills essential to performance are explicit in the performance criteria of this unit of competency.</w:t>
      </w:r>
    </w:p>
    <w:p w:rsidR="00000000" w:rsidRPr="00EA79BC" w:rsidP="00EA79BC">
      <w:pPr>
        <w:pStyle w:val="Heading1"/>
      </w:pPr>
      <w:bookmarkStart w:id="8" w:name="O_798725"/>
      <w:bookmarkEnd w:id="8"/>
      <w:r w:rsidRPr="00EA79BC">
        <w:t>Range of Conditions</w:t>
      </w:r>
    </w:p>
    <w:p w:rsidR="00000000" w:rsidRPr="00EA79BC" w:rsidP="001D6C10">
      <w:pPr>
        <w:pStyle w:val="BodyText"/>
      </w:pPr>
      <w:r w:rsidRPr="00EA79BC">
        <w:t>Range is restricted to essential operating conditions and any other variables essential to the work environment.</w:t>
      </w:r>
    </w:p>
    <w:p w:rsidR="001D6C10" w:rsidP="001D6C10">
      <w:pPr>
        <w:pStyle w:val="BodyText"/>
      </w:pPr>
      <w:r w:rsidRPr="00EA79BC">
        <w:t>Non-essential conditions can be found in the Companion Volume Implementation Guide.</w:t>
      </w:r>
    </w:p>
    <w:p w:rsidR="00000000" w:rsidRPr="00EA79BC" w:rsidP="00EA79BC">
      <w:pPr>
        <w:pStyle w:val="Heading1"/>
      </w:pPr>
      <w:bookmarkStart w:id="9" w:name="O_798726"/>
      <w:bookmarkEnd w:id="9"/>
      <w:r w:rsidRPr="00EA79BC">
        <w:t>Un</w:t>
      </w:r>
      <w:r w:rsidRPr="00EA79BC">
        <w:t>it Mapping Information</w:t>
      </w:r>
    </w:p>
    <w:p w:rsidR="001D6C10" w:rsidP="001D6C10">
      <w:pPr>
        <w:pStyle w:val="BodyText"/>
      </w:pPr>
      <w:r w:rsidRPr="00EA79BC">
        <w:t>This unit replaces and is equivalent to TLIJ5007A Conduct internal quality audits.</w:t>
      </w:r>
    </w:p>
    <w:p w:rsidR="00000000" w:rsidRPr="00EA79BC" w:rsidP="00EA79BC">
      <w:pPr>
        <w:pStyle w:val="Heading1"/>
      </w:pPr>
      <w:bookmarkStart w:id="10" w:name="O_798733"/>
      <w:bookmarkEnd w:id="10"/>
      <w:r w:rsidRPr="00EA79BC">
        <w:t>Links</w:t>
      </w:r>
    </w:p>
    <w:p w:rsidR="00000000" w:rsidRPr="00EA79BC" w:rsidP="001D6C10">
      <w:pPr>
        <w:pStyle w:val="BodyText"/>
      </w:pPr>
      <w:r w:rsidRPr="00EA7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82B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A79BC" w:rsidP="00EA79BC"/>
    <w:sectPr w:rsidSect="00EA7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9BC" w:rsidRPr="001D6C10" w:rsidP="001D6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10" w:rsidP="00EA7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C10" w:rsidP="00EA7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D6C10" w:rsidP="00EA7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9BC" w:rsidRPr="001D6C10" w:rsidP="001D6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10" w:rsidRPr="002D2AF8" w:rsidP="00EA7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TLIJ5007 Conduct internal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D6C10" w:rsidP="00EA7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9BC"/>
  </w:style>
  <w:style w:type="character" w:customStyle="1" w:styleId="Heading1Char">
    <w:name w:val="Heading 1 Char"/>
    <w:basedOn w:val="DefaultParagraphFont"/>
    <w:link w:val="Heading1"/>
    <w:rsid w:val="00EA7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9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79BC"/>
    <w:rPr>
      <w:b/>
      <w:spacing w:val="0"/>
    </w:rPr>
  </w:style>
  <w:style w:type="paragraph" w:customStyle="1" w:styleId="SuperHeading">
    <w:name w:val="SuperHeading"/>
    <w:basedOn w:val="Normal"/>
    <w:rsid w:val="00EA7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9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79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7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9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9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9BC"/>
    <w:rPr>
      <w:i/>
    </w:rPr>
  </w:style>
  <w:style w:type="paragraph" w:styleId="Caption">
    <w:name w:val="caption"/>
    <w:basedOn w:val="BodyText"/>
    <w:next w:val="Normal"/>
    <w:qFormat/>
    <w:rsid w:val="00EA7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9BC"/>
  </w:style>
  <w:style w:type="paragraph" w:styleId="TableofFigures">
    <w:name w:val="table of figures"/>
    <w:basedOn w:val="Normal"/>
    <w:next w:val="Normal"/>
    <w:semiHidden/>
    <w:rsid w:val="00EA7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9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79BC"/>
    <w:rPr>
      <w:rFonts w:ascii="Wingdings" w:hAnsi="Wingdings"/>
    </w:rPr>
  </w:style>
  <w:style w:type="paragraph" w:customStyle="1" w:styleId="TableHeading">
    <w:name w:val="Table Heading"/>
    <w:basedOn w:val="HeadingBase"/>
    <w:rsid w:val="00EA7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9BC"/>
    <w:rPr>
      <w:color w:val="0033CC"/>
      <w:u w:val="none"/>
    </w:rPr>
  </w:style>
  <w:style w:type="paragraph" w:customStyle="1" w:styleId="BodyTextRight">
    <w:name w:val="Body Text Right"/>
    <w:basedOn w:val="BodyText"/>
    <w:rsid w:val="00EA7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9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9BC"/>
    <w:rPr>
      <w:sz w:val="32"/>
    </w:rPr>
  </w:style>
  <w:style w:type="paragraph" w:customStyle="1" w:styleId="HeadingProcedure">
    <w:name w:val="Heading Procedure"/>
    <w:basedOn w:val="HeadingBase"/>
    <w:next w:val="Normal"/>
    <w:rsid w:val="00EA7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9BC"/>
    <w:pPr>
      <w:spacing w:before="60" w:after="60"/>
    </w:pPr>
  </w:style>
  <w:style w:type="paragraph" w:styleId="ListContinue">
    <w:name w:val="List Continue"/>
    <w:basedOn w:val="List"/>
    <w:rsid w:val="00EA79BC"/>
    <w:pPr>
      <w:ind w:firstLine="0"/>
    </w:pPr>
  </w:style>
  <w:style w:type="paragraph" w:customStyle="1" w:styleId="ListNote">
    <w:name w:val="List Note"/>
    <w:basedOn w:val="List"/>
    <w:rsid w:val="00EA7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9BC"/>
    <w:rPr>
      <w:rFonts w:ascii="Courier New" w:hAnsi="Courier New"/>
    </w:rPr>
  </w:style>
  <w:style w:type="paragraph" w:customStyle="1" w:styleId="NoteBullet">
    <w:name w:val="Note Bullet"/>
    <w:basedOn w:val="Note"/>
    <w:rsid w:val="00EA7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9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7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9BC"/>
    <w:rPr>
      <w:b/>
      <w:smallCaps/>
    </w:rPr>
  </w:style>
  <w:style w:type="paragraph" w:customStyle="1" w:styleId="TableListNumber">
    <w:name w:val="Table List Number"/>
    <w:basedOn w:val="ListNumber"/>
    <w:rsid w:val="00EA7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9BC"/>
    <w:pPr>
      <w:numPr>
        <w:numId w:val="7"/>
      </w:numPr>
    </w:pPr>
  </w:style>
  <w:style w:type="paragraph" w:customStyle="1" w:styleId="ListAlpha2">
    <w:name w:val="List Alpha 2"/>
    <w:basedOn w:val="List2"/>
    <w:rsid w:val="00EA79BC"/>
    <w:pPr>
      <w:numPr>
        <w:numId w:val="6"/>
      </w:numPr>
    </w:pPr>
  </w:style>
  <w:style w:type="paragraph" w:styleId="List2">
    <w:name w:val="List 2"/>
    <w:basedOn w:val="BodyText"/>
    <w:rsid w:val="00EA7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9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9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79BC"/>
    <w:pPr>
      <w:numPr>
        <w:numId w:val="2"/>
      </w:numPr>
    </w:pPr>
  </w:style>
  <w:style w:type="paragraph" w:styleId="ListContinue2">
    <w:name w:val="List Continue 2"/>
    <w:basedOn w:val="List2"/>
    <w:rsid w:val="00EA79BC"/>
    <w:pPr>
      <w:ind w:firstLine="0"/>
    </w:pPr>
  </w:style>
  <w:style w:type="paragraph" w:styleId="ListContinue3">
    <w:name w:val="List Continue 3"/>
    <w:basedOn w:val="List3"/>
    <w:rsid w:val="00EA79BC"/>
    <w:pPr>
      <w:ind w:left="1021" w:firstLine="0"/>
    </w:pPr>
  </w:style>
  <w:style w:type="paragraph" w:styleId="ListContinue4">
    <w:name w:val="List Continue 4"/>
    <w:basedOn w:val="List4"/>
    <w:rsid w:val="00EA79BC"/>
    <w:pPr>
      <w:ind w:firstLine="0"/>
    </w:pPr>
  </w:style>
  <w:style w:type="paragraph" w:styleId="ListContinue5">
    <w:name w:val="List Continue 5"/>
    <w:basedOn w:val="List5"/>
    <w:rsid w:val="00EA79BC"/>
    <w:pPr>
      <w:ind w:firstLine="0"/>
    </w:pPr>
  </w:style>
  <w:style w:type="paragraph" w:styleId="ListNumber3">
    <w:name w:val="List Number 3"/>
    <w:basedOn w:val="List3"/>
    <w:rsid w:val="00EA79BC"/>
    <w:pPr>
      <w:numPr>
        <w:numId w:val="3"/>
      </w:numPr>
    </w:pPr>
  </w:style>
  <w:style w:type="paragraph" w:styleId="ListNumber4">
    <w:name w:val="List Number 4"/>
    <w:basedOn w:val="List4"/>
    <w:rsid w:val="00EA79BC"/>
    <w:pPr>
      <w:numPr>
        <w:numId w:val="4"/>
      </w:numPr>
    </w:pPr>
  </w:style>
  <w:style w:type="paragraph" w:styleId="ListNumber5">
    <w:name w:val="List Number 5"/>
    <w:basedOn w:val="List5"/>
    <w:rsid w:val="00EA79BC"/>
    <w:pPr>
      <w:numPr>
        <w:numId w:val="5"/>
      </w:numPr>
    </w:pPr>
  </w:style>
  <w:style w:type="paragraph" w:styleId="BlockText">
    <w:name w:val="Block Text"/>
    <w:basedOn w:val="Normal"/>
    <w:rsid w:val="00EA7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9BC"/>
    <w:rPr>
      <w:sz w:val="16"/>
      <w:vertAlign w:val="superscript"/>
    </w:rPr>
  </w:style>
  <w:style w:type="character" w:customStyle="1" w:styleId="Symbols">
    <w:name w:val="Symbols"/>
    <w:basedOn w:val="DefaultParagraphFont"/>
    <w:rsid w:val="00EA79BC"/>
    <w:rPr>
      <w:rFonts w:ascii="Symbol" w:hAnsi="Symbol"/>
    </w:rPr>
  </w:style>
  <w:style w:type="character" w:customStyle="1" w:styleId="MenuOptions">
    <w:name w:val="Menu Options"/>
    <w:basedOn w:val="DefaultParagraphFont"/>
    <w:rsid w:val="00EA7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9BC"/>
    <w:rPr>
      <w:b/>
    </w:rPr>
  </w:style>
  <w:style w:type="character" w:customStyle="1" w:styleId="Underlined">
    <w:name w:val="Underlined"/>
    <w:basedOn w:val="DefaultParagraphFont"/>
    <w:rsid w:val="00EA79BC"/>
    <w:rPr>
      <w:u w:val="single"/>
    </w:rPr>
  </w:style>
  <w:style w:type="paragraph" w:customStyle="1" w:styleId="TableBodyTextRight">
    <w:name w:val="Table Body Text Right"/>
    <w:basedOn w:val="TableBodyText"/>
    <w:rsid w:val="00EA7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9BC"/>
    <w:rPr>
      <w:sz w:val="18"/>
    </w:rPr>
  </w:style>
  <w:style w:type="paragraph" w:customStyle="1" w:styleId="BodySmallRight">
    <w:name w:val="Body Small Right"/>
    <w:basedOn w:val="BodyTextRight"/>
    <w:rsid w:val="00EA79BC"/>
    <w:rPr>
      <w:sz w:val="18"/>
      <w:szCs w:val="18"/>
    </w:rPr>
  </w:style>
  <w:style w:type="paragraph" w:customStyle="1" w:styleId="MarginEdition">
    <w:name w:val="Margin Edition"/>
    <w:basedOn w:val="MarginNote"/>
    <w:rsid w:val="00EA7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9BC"/>
    <w:rPr>
      <w:sz w:val="2"/>
      <w:szCs w:val="2"/>
    </w:rPr>
  </w:style>
  <w:style w:type="character" w:customStyle="1" w:styleId="Small">
    <w:name w:val="Small"/>
    <w:basedOn w:val="DefaultParagraphFont"/>
    <w:rsid w:val="00EA79BC"/>
    <w:rPr>
      <w:sz w:val="16"/>
    </w:rPr>
  </w:style>
  <w:style w:type="paragraph" w:customStyle="1" w:styleId="WideTable">
    <w:name w:val="Wide Table"/>
    <w:basedOn w:val="Normal"/>
    <w:rsid w:val="00EA7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9BC"/>
  </w:style>
  <w:style w:type="paragraph" w:styleId="Quote">
    <w:name w:val="Quote"/>
    <w:basedOn w:val="Heading1"/>
    <w:link w:val="QuoteChar"/>
    <w:qFormat/>
    <w:rsid w:val="00EA7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9BC"/>
    <w:pPr>
      <w:pageBreakBefore/>
    </w:pPr>
  </w:style>
  <w:style w:type="paragraph" w:customStyle="1" w:styleId="Border">
    <w:name w:val="Border"/>
    <w:basedOn w:val="Normal"/>
    <w:qFormat/>
    <w:rsid w:val="00EA7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9BC"/>
    <w:rPr>
      <w:u w:val="single"/>
    </w:rPr>
  </w:style>
  <w:style w:type="character" w:customStyle="1" w:styleId="BoldandItalics">
    <w:name w:val="Bold and Italics"/>
    <w:qFormat/>
    <w:rsid w:val="00EA79BC"/>
    <w:rPr>
      <w:b/>
      <w:i/>
      <w:u w:val="none"/>
    </w:rPr>
  </w:style>
  <w:style w:type="paragraph" w:styleId="BalloonText">
    <w:name w:val="Balloon Text"/>
    <w:basedOn w:val="Normal"/>
    <w:link w:val="BalloonTextChar"/>
    <w:rsid w:val="00EA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9BC"/>
    <w:pPr>
      <w:spacing w:before="0" w:after="0"/>
    </w:pPr>
  </w:style>
  <w:style w:type="paragraph" w:customStyle="1" w:styleId="BodyTextBold">
    <w:name w:val="Body Text Bold"/>
    <w:basedOn w:val="BodyText"/>
    <w:qFormat/>
    <w:rsid w:val="00EA79BC"/>
    <w:rPr>
      <w:b/>
    </w:rPr>
  </w:style>
  <w:style w:type="character" w:styleId="Hyperlink">
    <w:name w:val="Hyperlink"/>
    <w:basedOn w:val="DefaultParagraphFont"/>
    <w:uiPriority w:val="99"/>
    <w:unhideWhenUsed/>
    <w:rsid w:val="001D6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3068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TLIJ5007 Conduct internal quality audits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