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615" w:rsidP="004F4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TLIJ5007 Conduct internal quality audits</w:t>
      </w:r>
      <w:r>
        <w:fldChar w:fldCharType="end"/>
      </w:r>
    </w:p>
    <w:p w:rsidR="004F4615" w:rsidP="004F4615">
      <w:pPr>
        <w:pStyle w:val="Version"/>
        <w:sectPr w:rsidSect="00425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668" w:rsidP="00425668">
      <w:pPr>
        <w:pStyle w:val="SuperHeading"/>
      </w:pPr>
      <w:r w:rsidRPr="00425668">
        <w:t>TLIJ5007 Conduct internal quality audits</w:t>
      </w:r>
    </w:p>
    <w:p w:rsidR="00000000" w:rsidRPr="00425668" w:rsidP="00425668">
      <w:pPr>
        <w:pStyle w:val="Heading1"/>
      </w:pPr>
      <w:bookmarkStart w:id="1" w:name="O_798718"/>
      <w:bookmarkEnd w:id="1"/>
      <w:r w:rsidRPr="00425668">
        <w:t>Modification History</w:t>
      </w:r>
    </w:p>
    <w:p w:rsidR="004F4615" w:rsidP="004F4615">
      <w:pPr>
        <w:pStyle w:val="BodyText"/>
      </w:pPr>
      <w:r w:rsidRPr="00425668">
        <w:t>Release 1. This is the first release of this unit of competency in the TLI Transport and Logistics Training Package.</w:t>
      </w:r>
    </w:p>
    <w:p w:rsidR="00000000" w:rsidRPr="00425668" w:rsidP="00425668">
      <w:pPr>
        <w:pStyle w:val="Heading1"/>
      </w:pPr>
      <w:bookmarkStart w:id="2" w:name="O_798719"/>
      <w:bookmarkEnd w:id="2"/>
      <w:r w:rsidRPr="00425668">
        <w:t>Application</w:t>
      </w:r>
    </w:p>
    <w:p w:rsidR="00000000" w:rsidRPr="00425668" w:rsidP="004F4615">
      <w:pPr>
        <w:pStyle w:val="BodyText"/>
      </w:pPr>
      <w:r w:rsidRPr="00425668">
        <w:t xml:space="preserve">This unit involves the skills and knowledge required to conduct internal quality audits </w:t>
      </w:r>
      <w:r w:rsidRPr="00425668">
        <w:t xml:space="preserve">in accordance with relevant regulatory requirements, standards and codes of practice, including the Australian Dangerous Goods (ADG) Code and workplace procedures. </w:t>
      </w:r>
    </w:p>
    <w:p w:rsidR="00000000" w:rsidRPr="00425668" w:rsidP="004F4615">
      <w:pPr>
        <w:pStyle w:val="BodyText"/>
      </w:pPr>
      <w:r w:rsidRPr="00425668">
        <w:t>It includes preparing and scheduling for an internal audit, conducting an audit, documentin</w:t>
      </w:r>
      <w:r w:rsidRPr="00425668">
        <w:t>g findings and reporting audit results, in accordance with workplace requirements.</w:t>
      </w:r>
    </w:p>
    <w:p w:rsidR="00000000" w:rsidRPr="00425668" w:rsidP="004F4615">
      <w:pPr>
        <w:pStyle w:val="BodyText"/>
      </w:pPr>
      <w:r w:rsidRPr="00425668">
        <w:t xml:space="preserve">Work is under general guidance on progress and outcomes. It requires discretion and judgement for self and others in planning and using resources, services and processes to </w:t>
      </w:r>
      <w:r w:rsidRPr="00425668">
        <w:t>achieve required outcomes.</w:t>
      </w:r>
    </w:p>
    <w:p w:rsidR="00000000" w:rsidRPr="00425668" w:rsidP="004F4615">
      <w:pPr>
        <w:pStyle w:val="BodyText"/>
      </w:pPr>
      <w:r w:rsidRPr="00425668">
        <w:t>The unit generally applies to those with responsibility for resource coordination and allocation, and who lead individuals or teams.</w:t>
      </w:r>
    </w:p>
    <w:p w:rsidR="004F4615" w:rsidP="004F4615">
      <w:pPr>
        <w:pStyle w:val="BodyText"/>
      </w:pPr>
      <w:r w:rsidRPr="00425668">
        <w:t>No licensing, legislative or certification requirements apply to this unit at the time of public</w:t>
      </w:r>
      <w:r w:rsidRPr="00425668">
        <w:t>ation.</w:t>
      </w:r>
    </w:p>
    <w:p w:rsidR="00000000" w:rsidRPr="00425668" w:rsidP="00425668">
      <w:pPr>
        <w:pStyle w:val="Heading1"/>
      </w:pPr>
      <w:bookmarkStart w:id="3" w:name="O_798720"/>
      <w:bookmarkEnd w:id="3"/>
      <w:r w:rsidRPr="00425668">
        <w:t>Pre-requisite Unit</w:t>
      </w:r>
    </w:p>
    <w:p w:rsidR="00000000" w:rsidRPr="00425668" w:rsidP="004F4615">
      <w:pPr>
        <w:pStyle w:val="BodyText"/>
      </w:pPr>
      <w:r w:rsidRPr="00425668">
        <w:t>Not applicable.</w:t>
      </w:r>
    </w:p>
    <w:p w:rsidR="00000000" w:rsidRPr="00425668" w:rsidP="00425668">
      <w:pPr>
        <w:pStyle w:val="Heading1"/>
      </w:pPr>
      <w:bookmarkStart w:id="4" w:name="O_798721"/>
      <w:bookmarkEnd w:id="4"/>
      <w:r w:rsidRPr="00425668">
        <w:t>Competency Field</w:t>
      </w:r>
    </w:p>
    <w:p w:rsidR="004F4615" w:rsidP="004F4615">
      <w:pPr>
        <w:pStyle w:val="BodyText"/>
      </w:pPr>
      <w:r w:rsidRPr="00425668">
        <w:t>J – Quality</w:t>
      </w:r>
    </w:p>
    <w:p w:rsidR="00000000" w:rsidRPr="00425668" w:rsidP="00425668">
      <w:pPr>
        <w:pStyle w:val="Heading1"/>
      </w:pPr>
      <w:bookmarkStart w:id="5" w:name="O_798722"/>
      <w:bookmarkEnd w:id="5"/>
      <w:r w:rsidRPr="00425668">
        <w:t>Unit Sector</w:t>
      </w:r>
    </w:p>
    <w:p w:rsidR="00000000" w:rsidRPr="00425668" w:rsidP="004F4615">
      <w:pPr>
        <w:pStyle w:val="BodyText"/>
      </w:pPr>
      <w:r w:rsidRPr="00425668">
        <w:t>Not applicable.</w:t>
      </w:r>
    </w:p>
    <w:p w:rsidR="00000000" w:rsidRPr="00425668" w:rsidP="00425668">
      <w:pPr>
        <w:pStyle w:val="Heading1"/>
      </w:pPr>
      <w:bookmarkStart w:id="6" w:name="O_798723"/>
      <w:bookmarkEnd w:id="6"/>
      <w:r w:rsidRPr="004256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BodyText"/>
            </w:pPr>
            <w:r w:rsidRPr="0042566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rPr>
                <w:rStyle w:val="SpecialBold"/>
              </w:rPr>
              <w:t>PERFORMANCE CRITERIA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 xml:space="preserve">Elements describe the </w:t>
            </w:r>
            <w:r w:rsidRPr="00425668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 xml:space="preserve">Performance criteria describe the performance needed to demonstrate achievement of the </w:t>
            </w:r>
            <w:r w:rsidRPr="00425668">
              <w:t>element.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BodyText"/>
            </w:pPr>
            <w:r w:rsidRPr="0042566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rPr>
                <w:rStyle w:val="SpecialBold"/>
              </w:rPr>
              <w:t>Prepare for internal audit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Benchmarks for the quality audit are established/identified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Procedures required to be audited are identified and implications of non-conformance are estimated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Technical and/or calibration requirements for audits are noted as required and appropriate support personnel are identified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Production schedule</w:t>
            </w:r>
            <w:r w:rsidRPr="00425668">
              <w:t xml:space="preserve">s are examined to identify appropriate audit schedule 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BodyText"/>
            </w:pPr>
            <w:r w:rsidRPr="0042566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rPr>
                <w:rStyle w:val="SpecialBold"/>
              </w:rPr>
              <w:t>Schedule internal audit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Audit timings are planned to ensure relevant procedures are conducted within workplace agreed time intervals and timeframes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Audit frequency is adjusted based on importance of activities to the business unit, process or workplace changes or customer feedback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Contact is made with appropriate personnel and relevant audit appointments are made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BodyText"/>
            </w:pPr>
            <w:r w:rsidRPr="0042566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rPr>
                <w:rStyle w:val="SpecialBold"/>
              </w:rPr>
              <w:t>Conduct audit and document f</w:t>
            </w:r>
            <w:r w:rsidRPr="00425668">
              <w:rPr>
                <w:rStyle w:val="SpecialBold"/>
              </w:rPr>
              <w:t>indings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Methods for conducting the audit are established and confirmed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Observations and interviews are conducted with  required approved third party as required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Documentation of observations and interview responses is completed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BodyText"/>
            </w:pPr>
            <w:r w:rsidRPr="0042566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rPr>
                <w:rStyle w:val="SpecialBold"/>
              </w:rPr>
              <w:t>Re</w:t>
            </w:r>
            <w:r w:rsidRPr="00425668">
              <w:rPr>
                <w:rStyle w:val="SpecialBold"/>
              </w:rPr>
              <w:t>port audit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Audit results are discussed with personnel associated with the procedures or standards audit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 xml:space="preserve">Compliances noted are indicated in audit reports 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BodyText"/>
            </w:pPr>
            <w:r w:rsidRPr="00425668">
              <w:t xml:space="preserve">Location, relevant standard or procedure, and supporting evidence are indicated in non-compliance reports </w:t>
            </w:r>
          </w:p>
        </w:tc>
      </w:tr>
    </w:tbl>
    <w:p w:rsidR="004F4615" w:rsidP="00425668">
      <w:pPr>
        <w:pStyle w:val="BodyText"/>
      </w:pPr>
    </w:p>
    <w:p w:rsidR="004F4615" w:rsidP="00425668">
      <w:pPr>
        <w:pStyle w:val="BodyText"/>
      </w:pPr>
    </w:p>
    <w:p w:rsidR="00000000" w:rsidRPr="00425668" w:rsidP="00425668">
      <w:pPr>
        <w:pStyle w:val="Heading1"/>
      </w:pPr>
      <w:bookmarkStart w:id="7" w:name="O_798724"/>
      <w:bookmarkEnd w:id="7"/>
      <w:r w:rsidRPr="00425668">
        <w:t>Foundation Skills</w:t>
      </w:r>
    </w:p>
    <w:p w:rsidR="004F4615" w:rsidP="004F4615">
      <w:pPr>
        <w:pStyle w:val="BodyText"/>
      </w:pPr>
      <w:r w:rsidRPr="00425668">
        <w:t>Foundation skills essential to performance are explicit in the performance criteria of this unit of competency.</w:t>
      </w:r>
    </w:p>
    <w:p w:rsidR="00000000" w:rsidRPr="00425668" w:rsidP="00425668">
      <w:pPr>
        <w:pStyle w:val="Heading1"/>
      </w:pPr>
      <w:bookmarkStart w:id="8" w:name="O_798725"/>
      <w:bookmarkEnd w:id="8"/>
      <w:r w:rsidRPr="00425668">
        <w:t>Range of Conditions</w:t>
      </w:r>
    </w:p>
    <w:p w:rsidR="00000000" w:rsidRPr="00425668" w:rsidP="004F4615">
      <w:pPr>
        <w:pStyle w:val="BodyText"/>
      </w:pPr>
      <w:r w:rsidRPr="00425668">
        <w:t>Range is restricted to essential operating conditions and any other variables essential to the work environment.</w:t>
      </w:r>
    </w:p>
    <w:p w:rsidR="004F4615" w:rsidP="004F4615">
      <w:pPr>
        <w:pStyle w:val="BodyText"/>
      </w:pPr>
      <w:r w:rsidRPr="00425668">
        <w:t>Non-essential conditions can be found in the Companion Volume Implementation Guide.</w:t>
      </w:r>
    </w:p>
    <w:p w:rsidR="00000000" w:rsidRPr="00425668" w:rsidP="00425668">
      <w:pPr>
        <w:pStyle w:val="Heading1"/>
      </w:pPr>
      <w:bookmarkStart w:id="9" w:name="O_798726"/>
      <w:bookmarkEnd w:id="9"/>
      <w:r w:rsidRPr="00425668">
        <w:t>Un</w:t>
      </w:r>
      <w:r w:rsidRPr="00425668">
        <w:t>it Mapping Information</w:t>
      </w:r>
    </w:p>
    <w:p w:rsidR="004F4615" w:rsidP="004F4615">
      <w:pPr>
        <w:pStyle w:val="BodyText"/>
      </w:pPr>
      <w:r w:rsidRPr="00425668">
        <w:t>This unit replaces and is equivalent to TLIJ5007A Conduct internal quality audits.</w:t>
      </w:r>
    </w:p>
    <w:p w:rsidR="00000000" w:rsidRPr="00425668" w:rsidP="00425668">
      <w:pPr>
        <w:pStyle w:val="Heading1"/>
      </w:pPr>
      <w:bookmarkStart w:id="10" w:name="O_798733"/>
      <w:bookmarkEnd w:id="10"/>
      <w:r w:rsidRPr="00425668">
        <w:t>Links</w:t>
      </w:r>
    </w:p>
    <w:p w:rsidR="00000000" w:rsidRPr="00425668" w:rsidP="004F4615">
      <w:pPr>
        <w:pStyle w:val="BodyText"/>
      </w:pPr>
      <w:r w:rsidRPr="00425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2E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5668" w:rsidP="004F4615">
      <w:pPr>
        <w:pStyle w:val="BodyText"/>
        <w:sectPr w:rsidSect="004256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5668" w:rsidP="00425668">
      <w:pPr>
        <w:pStyle w:val="SuperHeading"/>
      </w:pPr>
      <w:r w:rsidRPr="00425668">
        <w:t>Assessment Requirements for TLIJ5007 Conduct internal quality audits</w:t>
      </w:r>
    </w:p>
    <w:p w:rsidR="00000000" w:rsidRPr="00425668" w:rsidP="00425668">
      <w:pPr>
        <w:pStyle w:val="Heading1"/>
      </w:pPr>
      <w:bookmarkStart w:id="11" w:name="O_798728"/>
      <w:bookmarkEnd w:id="11"/>
      <w:r w:rsidRPr="00425668">
        <w:t>Modification History</w:t>
      </w:r>
    </w:p>
    <w:p w:rsidR="004F4615" w:rsidP="004F4615">
      <w:pPr>
        <w:pStyle w:val="BodyText"/>
      </w:pPr>
      <w:r w:rsidRPr="00425668">
        <w:t>Release 1. This is the first release of this unit of competency in the TLI Transport and Logistics Training Package.</w:t>
      </w:r>
    </w:p>
    <w:p w:rsidR="00000000" w:rsidRPr="00425668" w:rsidP="00425668">
      <w:pPr>
        <w:pStyle w:val="Heading1"/>
      </w:pPr>
      <w:bookmarkStart w:id="12" w:name="O_798729"/>
      <w:bookmarkEnd w:id="12"/>
      <w:r w:rsidRPr="0042566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 xml:space="preserve">Evidence required to demonstrate competence in this unit must be relevant to and satisfy all of the </w:t>
            </w:r>
            <w:r w:rsidRPr="00425668">
              <w:t>requirements of the elements and performance criteria on at least one occasion and include: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ListBullet"/>
            </w:pPr>
            <w:r w:rsidRPr="00425668">
              <w:t>applying relevant legislation and workplace procedures</w:t>
            </w:r>
          </w:p>
          <w:p w:rsidR="00000000" w:rsidRPr="00425668" w:rsidP="00425668">
            <w:pPr>
              <w:pStyle w:val="ListBullet"/>
            </w:pPr>
            <w:r w:rsidRPr="00425668">
              <w:t xml:space="preserve">communicating effectively with others </w:t>
            </w:r>
          </w:p>
          <w:p w:rsidR="00000000" w:rsidRPr="00425668" w:rsidP="00425668">
            <w:pPr>
              <w:pStyle w:val="ListBullet"/>
            </w:pPr>
            <w:r w:rsidRPr="00425668">
              <w:t>completing relevant documentation</w:t>
            </w:r>
          </w:p>
          <w:p w:rsidR="00000000" w:rsidRPr="00425668" w:rsidP="00425668">
            <w:pPr>
              <w:pStyle w:val="ListBullet"/>
            </w:pPr>
            <w:r w:rsidRPr="00425668">
              <w:t>conducting an internal audit in the workplace</w:t>
            </w:r>
          </w:p>
          <w:p w:rsidR="00000000" w:rsidRPr="00425668" w:rsidP="00425668">
            <w:pPr>
              <w:pStyle w:val="ListBullet"/>
            </w:pPr>
            <w:r w:rsidRPr="00425668">
              <w:t>interpreting and following operational instructions and prioritising work</w:t>
            </w:r>
          </w:p>
          <w:p w:rsidR="00000000" w:rsidRPr="00425668" w:rsidP="00425668">
            <w:pPr>
              <w:pStyle w:val="ListBullet"/>
            </w:pPr>
            <w:r w:rsidRPr="00425668">
              <w:t>leading others</w:t>
            </w:r>
          </w:p>
          <w:p w:rsidR="00000000" w:rsidRPr="00425668" w:rsidP="00425668">
            <w:pPr>
              <w:pStyle w:val="ListBullet"/>
            </w:pPr>
            <w:r w:rsidRPr="00425668">
              <w:t>modifying activities to cater for variations in workplace contexts and environment</w:t>
            </w:r>
          </w:p>
          <w:p w:rsidR="00000000" w:rsidRPr="00425668" w:rsidP="00425668">
            <w:pPr>
              <w:pStyle w:val="ListBullet"/>
            </w:pPr>
            <w:r w:rsidRPr="00425668">
              <w:t>monitoring work activities in terms of</w:t>
            </w:r>
            <w:r w:rsidRPr="00425668">
              <w:t xml:space="preserve"> planned schedule</w:t>
            </w:r>
          </w:p>
          <w:p w:rsidR="00000000" w:rsidRPr="00425668" w:rsidP="00425668">
            <w:pPr>
              <w:pStyle w:val="ListBullet"/>
            </w:pPr>
            <w:r w:rsidRPr="00425668">
              <w:t>operating and adapting to differences in equipment in accordance with operating procedures</w:t>
            </w:r>
          </w:p>
          <w:p w:rsidR="00000000" w:rsidRPr="00425668" w:rsidP="00425668">
            <w:pPr>
              <w:pStyle w:val="ListBullet"/>
            </w:pPr>
            <w:r w:rsidRPr="00425668">
              <w:t>planning and organising activities</w:t>
            </w:r>
          </w:p>
          <w:p w:rsidR="00000000" w:rsidRPr="00425668" w:rsidP="00425668">
            <w:pPr>
              <w:pStyle w:val="ListBullet"/>
            </w:pPr>
            <w:r w:rsidRPr="00425668">
              <w:t xml:space="preserve">reading and interpreting relevant instructions, procedures, information and signs </w:t>
            </w:r>
          </w:p>
          <w:p w:rsidR="00000000" w:rsidRPr="00425668" w:rsidP="00425668">
            <w:pPr>
              <w:pStyle w:val="ListBullet"/>
            </w:pPr>
            <w:r w:rsidRPr="00425668">
              <w:t>selecting and applying approp</w:t>
            </w:r>
            <w:r w:rsidRPr="00425668">
              <w:t>riate technology, information systems and procedures</w:t>
            </w:r>
          </w:p>
          <w:p w:rsidR="00000000" w:rsidRPr="00425668" w:rsidP="00425668">
            <w:pPr>
              <w:pStyle w:val="ListBullet"/>
            </w:pPr>
            <w:r w:rsidRPr="00425668">
              <w:t xml:space="preserve">working collaboratively with others </w:t>
            </w:r>
          </w:p>
          <w:p w:rsidR="00000000" w:rsidRPr="00425668" w:rsidP="00425668">
            <w:pPr>
              <w:pStyle w:val="ListBullet"/>
            </w:pPr>
            <w:r w:rsidRPr="00425668">
              <w:t>working systematically with required attention to detail without injury to self or others, or damage to goods or equipment.</w:t>
            </w:r>
          </w:p>
        </w:tc>
      </w:tr>
    </w:tbl>
    <w:p w:rsidR="00000000" w:rsidRPr="00425668" w:rsidP="00425668">
      <w:pPr>
        <w:pStyle w:val="BodyText"/>
      </w:pPr>
    </w:p>
    <w:p w:rsidR="00000000" w:rsidRPr="00425668" w:rsidP="00425668">
      <w:pPr>
        <w:pStyle w:val="AllowPageBreak"/>
      </w:pPr>
    </w:p>
    <w:p w:rsidR="00000000" w:rsidRPr="00425668" w:rsidP="00425668">
      <w:pPr>
        <w:pStyle w:val="Heading1"/>
      </w:pPr>
      <w:bookmarkStart w:id="13" w:name="O_798730"/>
      <w:bookmarkEnd w:id="13"/>
      <w:r w:rsidRPr="0042566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68">
            <w:pPr>
              <w:pStyle w:val="BodyText"/>
              <w:rPr>
                <w:lang w:val="en-NZ"/>
              </w:rPr>
            </w:pPr>
            <w:r w:rsidRPr="00425668">
              <w:t>Evidence required to demonstrate competence in this unit must be relevant to and satisfy all of the requirements of the elements and  performance criteria and include:</w:t>
            </w:r>
          </w:p>
        </w:tc>
      </w:tr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ListBullet"/>
            </w:pPr>
            <w:r w:rsidRPr="00425668">
              <w:t>application of current competencies within functional activity</w:t>
            </w:r>
          </w:p>
          <w:p w:rsidR="00000000" w:rsidRPr="00425668" w:rsidP="00425668">
            <w:pPr>
              <w:pStyle w:val="ListBullet"/>
            </w:pPr>
            <w:r w:rsidRPr="00425668">
              <w:t>application of relevant Australian Standards and certification requirements</w:t>
            </w:r>
          </w:p>
          <w:p w:rsidR="00000000" w:rsidRPr="00425668" w:rsidP="00425668">
            <w:pPr>
              <w:pStyle w:val="ListBullet"/>
            </w:pPr>
            <w:r w:rsidRPr="00425668">
              <w:t>coaching and mentoring approaches to support team members to share knowledge and skills</w:t>
            </w:r>
          </w:p>
          <w:p w:rsidR="00000000" w:rsidRPr="00425668" w:rsidP="00425668">
            <w:pPr>
              <w:pStyle w:val="ListBullet"/>
            </w:pPr>
            <w:r w:rsidRPr="00425668">
              <w:t>enterprise business policies and plans including procedures for identifying non-compliance a</w:t>
            </w:r>
            <w:r w:rsidRPr="00425668">
              <w:t>nd best practice</w:t>
            </w:r>
          </w:p>
          <w:p w:rsidR="00000000" w:rsidRPr="00425668" w:rsidP="00425668">
            <w:pPr>
              <w:pStyle w:val="ListBullet"/>
            </w:pPr>
            <w:r w:rsidRPr="00425668">
              <w:t>equipment applications, capacities, configurations, safety hazards and control mechanisms</w:t>
            </w:r>
          </w:p>
          <w:p w:rsidR="00000000" w:rsidRPr="00425668" w:rsidP="00425668">
            <w:pPr>
              <w:pStyle w:val="ListBullet"/>
            </w:pPr>
            <w:r w:rsidRPr="00425668">
              <w:t>operational work systems, resources, management and workplace operating systems</w:t>
            </w:r>
          </w:p>
          <w:p w:rsidR="00000000" w:rsidRPr="00425668" w:rsidP="00425668">
            <w:pPr>
              <w:pStyle w:val="ListBullet"/>
            </w:pPr>
            <w:r w:rsidRPr="00425668">
              <w:t>problems that may occur and action that can be taken to resolve or re</w:t>
            </w:r>
            <w:r w:rsidRPr="00425668">
              <w:t>port these problems</w:t>
            </w:r>
          </w:p>
          <w:p w:rsidR="00000000" w:rsidRPr="00425668" w:rsidP="00425668">
            <w:pPr>
              <w:pStyle w:val="ListBullet"/>
            </w:pPr>
            <w:r w:rsidRPr="00425668">
              <w:t>quality procedures and implementation strategies</w:t>
            </w:r>
          </w:p>
          <w:p w:rsidR="00000000" w:rsidRPr="00425668" w:rsidP="00425668">
            <w:pPr>
              <w:pStyle w:val="ListBullet"/>
            </w:pPr>
            <w:r w:rsidRPr="00425668">
              <w:t xml:space="preserve">relevant regulations, codes of practice and legislative requirements including the Australian Dangerous Goods (ADG) Code </w:t>
            </w:r>
          </w:p>
          <w:p w:rsidR="00000000" w:rsidRPr="00425668" w:rsidP="00425668">
            <w:pPr>
              <w:pStyle w:val="ListBullet"/>
            </w:pPr>
            <w:r w:rsidRPr="00425668">
              <w:t>relevant workplace documentation procedures</w:t>
            </w:r>
          </w:p>
          <w:p w:rsidR="00000000" w:rsidRPr="00425668" w:rsidP="00425668">
            <w:pPr>
              <w:pStyle w:val="ListBullet"/>
            </w:pPr>
            <w:r w:rsidRPr="00425668">
              <w:t>resource availability</w:t>
            </w:r>
            <w:r w:rsidRPr="00425668">
              <w:t xml:space="preserve"> including the competencies of individuals in the team/group</w:t>
            </w:r>
          </w:p>
          <w:p w:rsidR="00000000" w:rsidRPr="00425668" w:rsidP="00425668">
            <w:pPr>
              <w:pStyle w:val="ListBullet"/>
            </w:pPr>
            <w:r w:rsidRPr="00425668">
              <w:t>workplace procedures for conducting internal quality audits.</w:t>
            </w:r>
          </w:p>
        </w:tc>
      </w:tr>
    </w:tbl>
    <w:p w:rsidR="00000000" w:rsidRPr="00425668" w:rsidP="00425668">
      <w:pPr>
        <w:pStyle w:val="BodyText"/>
      </w:pPr>
    </w:p>
    <w:p w:rsidR="00000000" w:rsidRPr="00425668" w:rsidP="00425668">
      <w:pPr>
        <w:pStyle w:val="AllowPageBreak"/>
      </w:pPr>
    </w:p>
    <w:p w:rsidR="00000000" w:rsidRPr="00425668" w:rsidP="00425668">
      <w:pPr>
        <w:pStyle w:val="Heading1"/>
      </w:pPr>
      <w:bookmarkStart w:id="14" w:name="O_798731"/>
      <w:bookmarkEnd w:id="14"/>
      <w:r w:rsidRPr="0042566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46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68" w:rsidP="00425668">
            <w:pPr>
              <w:pStyle w:val="BodyText"/>
            </w:pPr>
            <w:r w:rsidRPr="00425668">
              <w:t xml:space="preserve">As a minimum, assessors must satisfy applicable regulatory requirements, which include requirements in the </w:t>
            </w:r>
            <w:r w:rsidRPr="00425668">
              <w:rPr>
                <w:rStyle w:val="Emphasis"/>
              </w:rPr>
              <w:t>Standards for Registered Training Organisations</w:t>
            </w:r>
            <w:r w:rsidRPr="00425668">
              <w:t xml:space="preserve"> current at the time of assessment. </w:t>
            </w:r>
          </w:p>
          <w:p w:rsidR="00000000" w:rsidRPr="00425668" w:rsidP="00425668">
            <w:pPr>
              <w:pStyle w:val="BodyText"/>
            </w:pPr>
            <w:r w:rsidRPr="00425668">
              <w:t>As a minimum, assessment must satisfy applicable regulatory requi</w:t>
            </w:r>
            <w:r w:rsidRPr="00425668">
              <w:t xml:space="preserve">rements, which include requirements in the </w:t>
            </w:r>
            <w:r w:rsidRPr="00425668">
              <w:rPr>
                <w:rStyle w:val="Emphasis"/>
              </w:rPr>
              <w:t>Standards for Registered Training Organisations</w:t>
            </w:r>
            <w:r w:rsidRPr="00425668">
              <w:t xml:space="preserve"> current at the time of assessment.</w:t>
            </w:r>
          </w:p>
          <w:p w:rsidR="00000000" w:rsidRPr="00425668" w:rsidP="00425668">
            <w:pPr>
              <w:pStyle w:val="BodyText"/>
            </w:pPr>
            <w:r w:rsidRPr="00425668">
              <w:t>Assessment must occur in workplace operational situations where it is appropriate to do so; where this is not appropriate, assessm</w:t>
            </w:r>
            <w:r w:rsidRPr="00425668">
              <w:t xml:space="preserve">ent must occur in simulated workplace operational situations that replicate workplace conditions. </w:t>
            </w:r>
          </w:p>
          <w:p w:rsidR="00000000" w:rsidRPr="00425668" w:rsidP="00425668">
            <w:pPr>
              <w:pStyle w:val="BodyText"/>
            </w:pPr>
            <w:r w:rsidRPr="00425668">
              <w:t xml:space="preserve">Assessment processes and techniques must be appropriate to the language, literacy and numeracy requirements of the work being performed and the needs of the </w:t>
            </w:r>
            <w:r w:rsidRPr="00425668">
              <w:t>candidate.</w:t>
            </w:r>
          </w:p>
          <w:p w:rsidR="00000000" w:rsidRPr="00425668" w:rsidP="00425668">
            <w:pPr>
              <w:pStyle w:val="BodyText"/>
            </w:pPr>
            <w:r w:rsidRPr="00425668">
              <w:t>Resources for assessment include:</w:t>
            </w:r>
          </w:p>
          <w:p w:rsidR="00000000" w:rsidRPr="00425668" w:rsidP="00425668">
            <w:pPr>
              <w:pStyle w:val="ListBullet"/>
            </w:pPr>
            <w:r w:rsidRPr="00425668">
              <w:t>a range of relevant exercises, case studies and/or simulations</w:t>
            </w:r>
          </w:p>
          <w:p w:rsidR="00000000" w:rsidRPr="00425668" w:rsidP="00425668">
            <w:pPr>
              <w:pStyle w:val="ListBullet"/>
            </w:pPr>
            <w:r w:rsidRPr="00425668">
              <w:t xml:space="preserve">applicable documentation including workplace procedures, regulations, codes of practice and operation manuals </w:t>
            </w:r>
          </w:p>
          <w:p w:rsidR="00000000" w:rsidRPr="00425668" w:rsidP="00425668">
            <w:pPr>
              <w:pStyle w:val="ListBullet"/>
            </w:pPr>
            <w:r w:rsidRPr="00425668">
              <w:t>relevant materials, tools, equipment</w:t>
            </w:r>
            <w:r w:rsidRPr="00425668">
              <w:t xml:space="preserve"> and personal protective equipment currently used in industry.</w:t>
            </w:r>
          </w:p>
        </w:tc>
      </w:tr>
    </w:tbl>
    <w:p w:rsidR="00000000" w:rsidRPr="00425668" w:rsidP="00425668">
      <w:pPr>
        <w:pStyle w:val="BodyText"/>
      </w:pPr>
    </w:p>
    <w:p w:rsidR="00000000" w:rsidRPr="00425668" w:rsidP="00425668">
      <w:pPr>
        <w:pStyle w:val="AllowPageBreak"/>
      </w:pPr>
    </w:p>
    <w:p w:rsidR="00000000" w:rsidRPr="00425668" w:rsidP="00425668">
      <w:pPr>
        <w:pStyle w:val="Heading1"/>
      </w:pPr>
      <w:bookmarkStart w:id="15" w:name="O_798734"/>
      <w:bookmarkEnd w:id="15"/>
      <w:r w:rsidRPr="00425668">
        <w:t>Links</w:t>
      </w:r>
    </w:p>
    <w:p w:rsidR="00000000" w:rsidRPr="00425668" w:rsidP="004F4615">
      <w:pPr>
        <w:pStyle w:val="BodyText"/>
      </w:pPr>
      <w:r w:rsidRPr="00425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2E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5668" w:rsidP="00425668"/>
    <w:sectPr w:rsidSect="004256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68" w:rsidRPr="004F4615" w:rsidP="004F4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15" w:rsidP="00425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615" w:rsidP="00425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F4615" w:rsidP="004256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68" w:rsidP="00425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4615">
      <w:t>Approved</w:t>
    </w:r>
    <w:r w:rsidR="004F46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46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4615">
      <w:rPr>
        <w:noProof/>
      </w:rPr>
      <w:t>4</w:t>
    </w:r>
    <w:r>
      <w:rPr>
        <w:noProof/>
      </w:rPr>
      <w:fldChar w:fldCharType="end"/>
    </w:r>
  </w:p>
  <w:p w:rsidR="00425668" w:rsidP="00425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46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4615">
      <w:t>Industry Skills Australia</w:t>
    </w:r>
    <w:r w:rsidR="004F4615">
      <w:fldChar w:fldCharType="end"/>
    </w:r>
  </w:p>
  <w:p w:rsidR="00425668" w:rsidP="00425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668" w:rsidRPr="004F4615" w:rsidP="004F4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15" w:rsidRPr="002D2AF8" w:rsidP="00425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TLIJ5007 Conduct internal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4615" w:rsidP="004256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68" w:rsidRPr="002D2AF8" w:rsidP="00425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4615">
      <w:t>TLIJ5007 Conduct internal quality audits</w:t>
    </w:r>
    <w:r w:rsidR="004F46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4615">
      <w:rPr>
        <w:noProof/>
      </w:rPr>
      <w:t>1 March 2025</w:t>
    </w:r>
    <w:r>
      <w:fldChar w:fldCharType="end"/>
    </w:r>
  </w:p>
  <w:p w:rsidR="00425668" w:rsidP="00425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848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A2D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668"/>
  </w:style>
  <w:style w:type="character" w:customStyle="1" w:styleId="Heading1Char">
    <w:name w:val="Heading 1 Char"/>
    <w:basedOn w:val="DefaultParagraphFont"/>
    <w:link w:val="Heading1"/>
    <w:rsid w:val="00425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6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6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668"/>
    <w:rPr>
      <w:b/>
      <w:spacing w:val="0"/>
    </w:rPr>
  </w:style>
  <w:style w:type="character" w:styleId="Emphasis">
    <w:name w:val="Emphasis"/>
    <w:basedOn w:val="DefaultParagraphFont"/>
    <w:qFormat/>
    <w:rsid w:val="00425668"/>
    <w:rPr>
      <w:i/>
    </w:rPr>
  </w:style>
  <w:style w:type="paragraph" w:customStyle="1" w:styleId="SuperHeading">
    <w:name w:val="SuperHeading"/>
    <w:basedOn w:val="Normal"/>
    <w:rsid w:val="00425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6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6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668"/>
  </w:style>
  <w:style w:type="paragraph" w:styleId="TableofFigures">
    <w:name w:val="table of figures"/>
    <w:basedOn w:val="Normal"/>
    <w:next w:val="Normal"/>
    <w:semiHidden/>
    <w:rsid w:val="00425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6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668"/>
    <w:rPr>
      <w:rFonts w:ascii="Wingdings" w:hAnsi="Wingdings"/>
    </w:rPr>
  </w:style>
  <w:style w:type="paragraph" w:customStyle="1" w:styleId="TableHeading">
    <w:name w:val="Table Heading"/>
    <w:basedOn w:val="HeadingBase"/>
    <w:rsid w:val="00425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668"/>
    <w:rPr>
      <w:color w:val="0033CC"/>
      <w:u w:val="none"/>
    </w:rPr>
  </w:style>
  <w:style w:type="paragraph" w:customStyle="1" w:styleId="BodyTextRight">
    <w:name w:val="Body Text Right"/>
    <w:basedOn w:val="BodyText"/>
    <w:rsid w:val="00425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668"/>
    <w:rPr>
      <w:sz w:val="32"/>
    </w:rPr>
  </w:style>
  <w:style w:type="paragraph" w:customStyle="1" w:styleId="HeadingProcedure">
    <w:name w:val="Heading Procedure"/>
    <w:basedOn w:val="HeadingBase"/>
    <w:next w:val="Normal"/>
    <w:rsid w:val="00425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668"/>
    <w:pPr>
      <w:spacing w:before="60" w:after="60"/>
    </w:pPr>
  </w:style>
  <w:style w:type="paragraph" w:styleId="ListContinue">
    <w:name w:val="List Continue"/>
    <w:basedOn w:val="List"/>
    <w:rsid w:val="00425668"/>
    <w:pPr>
      <w:ind w:firstLine="0"/>
    </w:pPr>
  </w:style>
  <w:style w:type="paragraph" w:customStyle="1" w:styleId="ListNote">
    <w:name w:val="List Note"/>
    <w:basedOn w:val="List"/>
    <w:rsid w:val="00425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668"/>
    <w:rPr>
      <w:rFonts w:ascii="Courier New" w:hAnsi="Courier New"/>
    </w:rPr>
  </w:style>
  <w:style w:type="paragraph" w:customStyle="1" w:styleId="NoteBullet">
    <w:name w:val="Note Bullet"/>
    <w:basedOn w:val="Note"/>
    <w:rsid w:val="00425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6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668"/>
    <w:rPr>
      <w:b/>
      <w:smallCaps/>
    </w:rPr>
  </w:style>
  <w:style w:type="paragraph" w:customStyle="1" w:styleId="TableListNumber">
    <w:name w:val="Table List Number"/>
    <w:basedOn w:val="ListNumber"/>
    <w:rsid w:val="00425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668"/>
    <w:pPr>
      <w:numPr>
        <w:numId w:val="8"/>
      </w:numPr>
    </w:pPr>
  </w:style>
  <w:style w:type="paragraph" w:customStyle="1" w:styleId="ListAlpha2">
    <w:name w:val="List Alpha 2"/>
    <w:basedOn w:val="List2"/>
    <w:rsid w:val="00425668"/>
    <w:pPr>
      <w:numPr>
        <w:numId w:val="7"/>
      </w:numPr>
    </w:pPr>
  </w:style>
  <w:style w:type="paragraph" w:styleId="List2">
    <w:name w:val="List 2"/>
    <w:basedOn w:val="BodyText"/>
    <w:rsid w:val="00425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6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6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668"/>
    <w:pPr>
      <w:numPr>
        <w:numId w:val="3"/>
      </w:numPr>
    </w:pPr>
  </w:style>
  <w:style w:type="paragraph" w:styleId="ListContinue2">
    <w:name w:val="List Continue 2"/>
    <w:basedOn w:val="List2"/>
    <w:rsid w:val="00425668"/>
    <w:pPr>
      <w:ind w:firstLine="0"/>
    </w:pPr>
  </w:style>
  <w:style w:type="paragraph" w:styleId="ListContinue3">
    <w:name w:val="List Continue 3"/>
    <w:basedOn w:val="List3"/>
    <w:rsid w:val="00425668"/>
    <w:pPr>
      <w:ind w:left="1021" w:firstLine="0"/>
    </w:pPr>
  </w:style>
  <w:style w:type="paragraph" w:styleId="ListContinue4">
    <w:name w:val="List Continue 4"/>
    <w:basedOn w:val="List4"/>
    <w:rsid w:val="00425668"/>
    <w:pPr>
      <w:ind w:firstLine="0"/>
    </w:pPr>
  </w:style>
  <w:style w:type="paragraph" w:styleId="ListContinue5">
    <w:name w:val="List Continue 5"/>
    <w:basedOn w:val="List5"/>
    <w:rsid w:val="00425668"/>
    <w:pPr>
      <w:ind w:firstLine="0"/>
    </w:pPr>
  </w:style>
  <w:style w:type="paragraph" w:styleId="ListNumber3">
    <w:name w:val="List Number 3"/>
    <w:basedOn w:val="List3"/>
    <w:rsid w:val="00425668"/>
    <w:pPr>
      <w:numPr>
        <w:numId w:val="4"/>
      </w:numPr>
    </w:pPr>
  </w:style>
  <w:style w:type="paragraph" w:styleId="ListNumber4">
    <w:name w:val="List Number 4"/>
    <w:basedOn w:val="List4"/>
    <w:rsid w:val="00425668"/>
    <w:pPr>
      <w:numPr>
        <w:numId w:val="5"/>
      </w:numPr>
    </w:pPr>
  </w:style>
  <w:style w:type="paragraph" w:styleId="ListNumber5">
    <w:name w:val="List Number 5"/>
    <w:basedOn w:val="List5"/>
    <w:rsid w:val="00425668"/>
    <w:pPr>
      <w:numPr>
        <w:numId w:val="6"/>
      </w:numPr>
    </w:pPr>
  </w:style>
  <w:style w:type="paragraph" w:styleId="BlockText">
    <w:name w:val="Block Text"/>
    <w:basedOn w:val="Normal"/>
    <w:rsid w:val="00425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668"/>
    <w:rPr>
      <w:sz w:val="16"/>
      <w:vertAlign w:val="superscript"/>
    </w:rPr>
  </w:style>
  <w:style w:type="character" w:customStyle="1" w:styleId="Symbols">
    <w:name w:val="Symbols"/>
    <w:basedOn w:val="DefaultParagraphFont"/>
    <w:rsid w:val="00425668"/>
    <w:rPr>
      <w:rFonts w:ascii="Symbol" w:hAnsi="Symbol"/>
    </w:rPr>
  </w:style>
  <w:style w:type="character" w:customStyle="1" w:styleId="MenuOptions">
    <w:name w:val="Menu Options"/>
    <w:basedOn w:val="DefaultParagraphFont"/>
    <w:rsid w:val="00425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668"/>
    <w:rPr>
      <w:b/>
    </w:rPr>
  </w:style>
  <w:style w:type="character" w:customStyle="1" w:styleId="Underlined">
    <w:name w:val="Underlined"/>
    <w:basedOn w:val="DefaultParagraphFont"/>
    <w:rsid w:val="00425668"/>
    <w:rPr>
      <w:u w:val="single"/>
    </w:rPr>
  </w:style>
  <w:style w:type="paragraph" w:customStyle="1" w:styleId="TableBodyTextRight">
    <w:name w:val="Table Body Text Right"/>
    <w:basedOn w:val="TableBodyText"/>
    <w:rsid w:val="00425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668"/>
    <w:rPr>
      <w:sz w:val="18"/>
    </w:rPr>
  </w:style>
  <w:style w:type="paragraph" w:customStyle="1" w:styleId="BodySmallRight">
    <w:name w:val="Body Small Right"/>
    <w:basedOn w:val="BodyTextRight"/>
    <w:rsid w:val="00425668"/>
    <w:rPr>
      <w:sz w:val="18"/>
      <w:szCs w:val="18"/>
    </w:rPr>
  </w:style>
  <w:style w:type="paragraph" w:customStyle="1" w:styleId="MarginEdition">
    <w:name w:val="Margin Edition"/>
    <w:basedOn w:val="MarginNote"/>
    <w:rsid w:val="00425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668"/>
    <w:rPr>
      <w:sz w:val="2"/>
      <w:szCs w:val="2"/>
    </w:rPr>
  </w:style>
  <w:style w:type="character" w:customStyle="1" w:styleId="Small">
    <w:name w:val="Small"/>
    <w:basedOn w:val="DefaultParagraphFont"/>
    <w:rsid w:val="00425668"/>
    <w:rPr>
      <w:sz w:val="16"/>
    </w:rPr>
  </w:style>
  <w:style w:type="paragraph" w:customStyle="1" w:styleId="WideTable">
    <w:name w:val="Wide Table"/>
    <w:basedOn w:val="Normal"/>
    <w:rsid w:val="00425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668"/>
  </w:style>
  <w:style w:type="paragraph" w:styleId="Quote">
    <w:name w:val="Quote"/>
    <w:basedOn w:val="Heading1"/>
    <w:link w:val="QuoteChar"/>
    <w:qFormat/>
    <w:rsid w:val="00425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668"/>
    <w:pPr>
      <w:pageBreakBefore/>
    </w:pPr>
  </w:style>
  <w:style w:type="paragraph" w:customStyle="1" w:styleId="Border">
    <w:name w:val="Border"/>
    <w:basedOn w:val="Normal"/>
    <w:qFormat/>
    <w:rsid w:val="00425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668"/>
    <w:rPr>
      <w:u w:val="single"/>
    </w:rPr>
  </w:style>
  <w:style w:type="character" w:customStyle="1" w:styleId="BoldandItalics">
    <w:name w:val="Bold and Italics"/>
    <w:qFormat/>
    <w:rsid w:val="00425668"/>
    <w:rPr>
      <w:b/>
      <w:i/>
      <w:u w:val="none"/>
    </w:rPr>
  </w:style>
  <w:style w:type="paragraph" w:styleId="BalloonText">
    <w:name w:val="Balloon Text"/>
    <w:basedOn w:val="Normal"/>
    <w:link w:val="BalloonTextChar"/>
    <w:rsid w:val="00425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668"/>
    <w:pPr>
      <w:spacing w:before="0" w:after="0"/>
    </w:pPr>
  </w:style>
  <w:style w:type="paragraph" w:customStyle="1" w:styleId="BodyTextBold">
    <w:name w:val="Body Text Bold"/>
    <w:basedOn w:val="BodyText"/>
    <w:qFormat/>
    <w:rsid w:val="00425668"/>
    <w:rPr>
      <w:b/>
    </w:rPr>
  </w:style>
  <w:style w:type="character" w:styleId="Hyperlink">
    <w:name w:val="Hyperlink"/>
    <w:basedOn w:val="DefaultParagraphFont"/>
    <w:uiPriority w:val="99"/>
    <w:unhideWhenUsed/>
    <w:rsid w:val="004F4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6373</Characters>
  <Application>Microsoft Office Word</Application>
  <DocSecurity>0</DocSecurity>
  <Lines>193</Lines>
  <Paragraphs>128</Paragraphs>
  <ScaleCrop>false</ScaleCrop>
  <Company>Author-it Software Corporation Ltd.</Company>
  <LinksUpToDate>false</LinksUpToDate>
  <CharactersWithSpaces>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TLIJ5007 Conduct internal quality audits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