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825" w:rsidP="00436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TLIJ0002 Implement grain monitoring measures</w:t>
      </w:r>
      <w:r>
        <w:fldChar w:fldCharType="end"/>
      </w:r>
    </w:p>
    <w:p w:rsidR="00436825" w:rsidP="00436825">
      <w:pPr>
        <w:pStyle w:val="Version"/>
        <w:sectPr w:rsidSect="00496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C95" w:rsidP="00496C95">
      <w:pPr>
        <w:pStyle w:val="SuperHeading"/>
      </w:pPr>
      <w:r w:rsidRPr="00496C95">
        <w:t>Assessment Requirements for TLIJ0002 Implement grain monitoring measures</w:t>
      </w:r>
    </w:p>
    <w:p w:rsidR="00000000" w:rsidRPr="00496C95" w:rsidP="00496C95">
      <w:pPr>
        <w:pStyle w:val="Heading1"/>
      </w:pPr>
      <w:bookmarkStart w:id="1" w:name="O_1120041"/>
      <w:bookmarkEnd w:id="1"/>
      <w:r w:rsidRPr="00496C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5" w:rsidP="00496C95">
            <w:pPr>
              <w:pStyle w:val="BodyText"/>
            </w:pPr>
            <w:r w:rsidRPr="00496C95">
              <w:t>Release 1. This is the first release of this unit of competency in the TLI Transport and Logistics Training Package.</w:t>
            </w:r>
          </w:p>
        </w:tc>
      </w:tr>
    </w:tbl>
    <w:p w:rsidR="00000000" w:rsidRPr="00496C95" w:rsidP="00496C95">
      <w:pPr>
        <w:pStyle w:val="NoPaddingFontSize1"/>
      </w:pPr>
    </w:p>
    <w:p w:rsidR="00000000" w:rsidRPr="00496C95" w:rsidP="00496C95">
      <w:pPr>
        <w:pStyle w:val="AllowPageBreak"/>
      </w:pPr>
    </w:p>
    <w:p w:rsidR="00000000" w:rsidRPr="00496C95" w:rsidP="00496C95">
      <w:pPr>
        <w:pStyle w:val="Heading1"/>
      </w:pPr>
      <w:bookmarkStart w:id="2" w:name="O_1120042"/>
      <w:bookmarkEnd w:id="2"/>
      <w:r w:rsidRPr="00496C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5">
            <w:pPr>
              <w:pStyle w:val="BodyText"/>
              <w:rPr>
                <w:lang w:val="en-NZ"/>
              </w:rPr>
            </w:pPr>
            <w:r w:rsidRPr="00496C9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96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5" w:rsidP="00496C95">
            <w:pPr>
              <w:pStyle w:val="ListBullet"/>
            </w:pPr>
            <w:r w:rsidRPr="00496C95">
              <w:t>applying control measures to minimise, contr</w:t>
            </w:r>
            <w:r w:rsidRPr="00496C95">
              <w:t>ol or eliminate identified hazards</w:t>
            </w:r>
          </w:p>
          <w:p w:rsidR="00000000" w:rsidRPr="00496C95" w:rsidP="00496C95">
            <w:pPr>
              <w:pStyle w:val="ListBullet"/>
            </w:pPr>
            <w:r w:rsidRPr="00496C95">
              <w:t>communicating and working effectively with relevant personnel</w:t>
            </w:r>
          </w:p>
          <w:p w:rsidR="00000000" w:rsidRPr="00496C95" w:rsidP="00496C95">
            <w:pPr>
              <w:pStyle w:val="ListBullet"/>
            </w:pPr>
            <w:r w:rsidRPr="00496C95">
              <w:t>completing relevant records and documentation</w:t>
            </w:r>
          </w:p>
          <w:p w:rsidR="00000000" w:rsidRPr="00496C95" w:rsidP="00496C95">
            <w:pPr>
              <w:pStyle w:val="ListBullet"/>
            </w:pPr>
            <w:r w:rsidRPr="00496C95">
              <w:t>identifying, selecting and efficiently and effectively using equipment</w:t>
            </w:r>
          </w:p>
          <w:p w:rsidR="00000000" w:rsidRPr="00496C95" w:rsidP="00496C95">
            <w:pPr>
              <w:pStyle w:val="ListBullet"/>
            </w:pPr>
            <w:r w:rsidRPr="00496C95">
              <w:t>implementing contingency plans</w:t>
            </w:r>
          </w:p>
          <w:p w:rsidR="00000000" w:rsidRPr="00496C95" w:rsidP="00496C95">
            <w:pPr>
              <w:pStyle w:val="ListBullet"/>
            </w:pPr>
            <w:r w:rsidRPr="00496C95">
              <w:t>interpreting and following relevant instructions, procedures, information and signs</w:t>
            </w:r>
          </w:p>
          <w:p w:rsidR="00000000" w:rsidRPr="00496C95" w:rsidP="00496C95">
            <w:pPr>
              <w:pStyle w:val="ListBullet"/>
            </w:pPr>
            <w:r w:rsidRPr="00496C95">
              <w:t>modifying activities depending on operational contingencies, risk situations and environments</w:t>
            </w:r>
          </w:p>
          <w:p w:rsidR="00000000" w:rsidRPr="00496C95" w:rsidP="00496C95">
            <w:pPr>
              <w:pStyle w:val="ListBullet"/>
            </w:pPr>
            <w:r w:rsidRPr="00496C95">
              <w:t>monitoring and prioritising work activities in terms of planned schedule</w:t>
            </w:r>
          </w:p>
          <w:p w:rsidR="00000000" w:rsidRPr="00496C95" w:rsidP="00496C95">
            <w:pPr>
              <w:pStyle w:val="ListBullet"/>
            </w:pPr>
            <w:r w:rsidRPr="00496C95">
              <w:t>opera</w:t>
            </w:r>
            <w:r w:rsidRPr="00496C95">
              <w:t>ting and adapting to differences in equipment in accordance with standard operating procedures</w:t>
            </w:r>
          </w:p>
          <w:p w:rsidR="00000000" w:rsidRPr="00496C95" w:rsidP="00496C95">
            <w:pPr>
              <w:pStyle w:val="ListBullet"/>
            </w:pPr>
            <w:r w:rsidRPr="00496C95">
              <w:t>operating communications equipment to required protocol</w:t>
            </w:r>
          </w:p>
          <w:p w:rsidR="00000000" w:rsidRPr="00496C95" w:rsidP="00496C95">
            <w:pPr>
              <w:pStyle w:val="ListBullet"/>
            </w:pPr>
            <w:r w:rsidRPr="00496C95">
              <w:t>planning own work, predicting consequences and identifying improvements</w:t>
            </w:r>
          </w:p>
          <w:p w:rsidR="00000000" w:rsidRPr="00496C95" w:rsidP="00496C95">
            <w:pPr>
              <w:pStyle w:val="ListBullet"/>
            </w:pPr>
            <w:r w:rsidRPr="00496C95">
              <w:t>reporting and/or rectifying ident</w:t>
            </w:r>
            <w:r w:rsidRPr="00496C95">
              <w:t>ified problems, faults or malfunctions promptly in accordance with regulatory requirements and workplace procedures</w:t>
            </w:r>
          </w:p>
          <w:p w:rsidR="00000000" w:rsidRPr="00496C95" w:rsidP="00496C95">
            <w:pPr>
              <w:pStyle w:val="ListBullet"/>
            </w:pPr>
            <w:r w:rsidRPr="00496C95">
              <w:t>selecting and using required personal protective equipment (PPE) conforming to industry and work health and safety (WHS)/occupational health</w:t>
            </w:r>
            <w:r w:rsidRPr="00496C95">
              <w:t xml:space="preserve"> and safety (OHS) standards</w:t>
            </w:r>
          </w:p>
          <w:p w:rsidR="00000000" w:rsidRPr="00496C95" w:rsidP="00496C95">
            <w:pPr>
              <w:pStyle w:val="ListBullet"/>
            </w:pPr>
            <w:r w:rsidRPr="00496C95">
              <w:t>setting up and maintaining grain protection equipment</w:t>
            </w:r>
          </w:p>
          <w:p w:rsidR="00000000" w:rsidRPr="00496C95" w:rsidP="00496C95">
            <w:pPr>
              <w:pStyle w:val="ListBullet"/>
            </w:pPr>
            <w:r w:rsidRPr="00496C95">
              <w:t>using appropriate equipment to maintain and monitor the optimum environment for grain storage</w:t>
            </w:r>
          </w:p>
          <w:p w:rsidR="00000000" w:rsidRPr="00496C95" w:rsidP="00496C95">
            <w:pPr>
              <w:pStyle w:val="ListBullet"/>
            </w:pPr>
            <w:r w:rsidRPr="00496C95">
              <w:t xml:space="preserve">working systematically with required attention to detail without injury to self </w:t>
            </w:r>
            <w:r w:rsidRPr="00496C95">
              <w:t>or others, or damage to goods or equipment.</w:t>
            </w:r>
          </w:p>
        </w:tc>
      </w:tr>
    </w:tbl>
    <w:p w:rsidR="00000000" w:rsidRPr="00496C95" w:rsidP="00496C95">
      <w:pPr>
        <w:pStyle w:val="NoPaddingFontSize1"/>
      </w:pPr>
    </w:p>
    <w:p w:rsidR="00000000" w:rsidRPr="00496C95" w:rsidP="00496C95">
      <w:pPr>
        <w:pStyle w:val="AllowPageBreak"/>
      </w:pPr>
    </w:p>
    <w:p w:rsidR="00000000" w:rsidRPr="00496C95" w:rsidP="00496C95">
      <w:pPr>
        <w:pStyle w:val="Heading1"/>
      </w:pPr>
      <w:bookmarkStart w:id="3" w:name="O_1120043"/>
      <w:bookmarkEnd w:id="3"/>
      <w:r w:rsidRPr="00496C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C95">
            <w:pPr>
              <w:pStyle w:val="BodyText"/>
              <w:rPr>
                <w:lang w:val="en-NZ"/>
              </w:rPr>
            </w:pPr>
            <w:r w:rsidRPr="00496C95">
              <w:t xml:space="preserve">Evidence required to demonstrate competence in this unit must be relevant to and satisfy all the requirements of the elements, performance criteria </w:t>
            </w:r>
            <w:r w:rsidRPr="00496C95">
              <w:t>and include knowledge of:</w:t>
            </w:r>
          </w:p>
        </w:tc>
      </w:tr>
      <w:tr w:rsidTr="00496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5" w:rsidP="00496C95">
            <w:pPr>
              <w:pStyle w:val="ListBullet"/>
            </w:pPr>
            <w:r w:rsidRPr="00496C95">
              <w:t>emergency response procedures</w:t>
            </w:r>
          </w:p>
          <w:p w:rsidR="00000000" w:rsidRPr="00496C95" w:rsidP="00496C95">
            <w:pPr>
              <w:pStyle w:val="ListBullet"/>
            </w:pPr>
            <w:r w:rsidRPr="00496C95">
              <w:t>equipment applications, capacities, configurations, safety hazards and control mechanisms</w:t>
            </w:r>
          </w:p>
          <w:p w:rsidR="00000000" w:rsidRPr="00496C95" w:rsidP="00496C95">
            <w:pPr>
              <w:pStyle w:val="ListBullet"/>
            </w:pPr>
            <w:r w:rsidRPr="00496C95">
              <w:t>grain classification procedures</w:t>
            </w:r>
          </w:p>
          <w:p w:rsidR="00000000" w:rsidRPr="00496C95" w:rsidP="00496C95">
            <w:pPr>
              <w:pStyle w:val="ListBullet"/>
            </w:pPr>
            <w:r w:rsidRPr="00496C95">
              <w:t>potential problems and appropriate solutions</w:t>
            </w:r>
          </w:p>
          <w:p w:rsidR="00000000" w:rsidRPr="00496C95" w:rsidP="00496C95">
            <w:pPr>
              <w:pStyle w:val="ListBullet"/>
            </w:pPr>
            <w:r w:rsidRPr="00496C95">
              <w:t>procedures for environmental co</w:t>
            </w:r>
            <w:r w:rsidRPr="00496C95">
              <w:t>ntrol and disposal activities</w:t>
            </w:r>
          </w:p>
          <w:p w:rsidR="00000000" w:rsidRPr="00496C95" w:rsidP="00496C95">
            <w:pPr>
              <w:pStyle w:val="ListBullet"/>
            </w:pPr>
            <w:r w:rsidRPr="00496C95">
              <w:t>relevant legislation and regulations for implementing grain monitoring measures in grain storage facilities</w:t>
            </w:r>
          </w:p>
          <w:p w:rsidR="00000000" w:rsidRPr="00496C95" w:rsidP="00496C95">
            <w:pPr>
              <w:pStyle w:val="ListBullet"/>
            </w:pPr>
            <w:r w:rsidRPr="00496C95">
              <w:t>relevant WHS/OHS and environmental protection procedures and guidelines</w:t>
            </w:r>
          </w:p>
          <w:p w:rsidR="00000000" w:rsidRPr="00496C95" w:rsidP="00496C95">
            <w:pPr>
              <w:pStyle w:val="ListBullet"/>
            </w:pPr>
            <w:r w:rsidRPr="00496C95">
              <w:t>site layout and obstacles</w:t>
            </w:r>
          </w:p>
          <w:p w:rsidR="00000000" w:rsidRPr="00496C95" w:rsidP="00496C95">
            <w:pPr>
              <w:pStyle w:val="ListBullet"/>
            </w:pPr>
            <w:r w:rsidRPr="00496C95">
              <w:t>storage and safe han</w:t>
            </w:r>
            <w:r w:rsidRPr="00496C95">
              <w:t>dling procedures</w:t>
            </w:r>
          </w:p>
          <w:p w:rsidR="00000000" w:rsidRPr="00496C95" w:rsidP="00496C95">
            <w:pPr>
              <w:pStyle w:val="ListBullet"/>
            </w:pPr>
            <w:r w:rsidRPr="00496C95">
              <w:t>workplace procedures and policies for implementing grain monitoring measures.</w:t>
            </w:r>
          </w:p>
        </w:tc>
      </w:tr>
    </w:tbl>
    <w:p w:rsidR="00000000" w:rsidRPr="00496C95" w:rsidP="00496C95">
      <w:pPr>
        <w:pStyle w:val="NoPaddingFontSize1"/>
      </w:pPr>
    </w:p>
    <w:p w:rsidR="00000000" w:rsidRPr="00496C95" w:rsidP="00496C95">
      <w:pPr>
        <w:pStyle w:val="AllowPageBreak"/>
      </w:pPr>
    </w:p>
    <w:p w:rsidR="00000000" w:rsidRPr="00496C95" w:rsidP="00496C95">
      <w:pPr>
        <w:pStyle w:val="Heading1"/>
      </w:pPr>
      <w:bookmarkStart w:id="4" w:name="O_1120044"/>
      <w:bookmarkEnd w:id="4"/>
      <w:r w:rsidRPr="00496C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C95" w:rsidP="00496C95">
            <w:pPr>
              <w:pStyle w:val="BodyText"/>
            </w:pPr>
            <w:r w:rsidRPr="00496C95">
              <w:t xml:space="preserve">Assessors must hold credentials specified within the Standards for Registered Training Organisations current at the time of assessment. </w:t>
            </w:r>
          </w:p>
          <w:p w:rsidR="00000000" w:rsidRPr="00496C95" w:rsidP="00496C95">
            <w:pPr>
              <w:pStyle w:val="BodyText"/>
            </w:pPr>
            <w:r w:rsidRPr="00496C95">
              <w:t>Assessment must satisfy the Principles of Assessment and Rules of Evidence and all regulatory requirements included wit</w:t>
            </w:r>
            <w:r w:rsidRPr="00496C95">
              <w:t>hin the Standards for Registered Training Organisations current at the time of assessment.</w:t>
            </w:r>
          </w:p>
          <w:p w:rsidR="00000000" w:rsidRPr="00496C95" w:rsidP="00496C95">
            <w:pPr>
              <w:pStyle w:val="BodyText"/>
            </w:pPr>
            <w:r w:rsidRPr="00496C95">
              <w:t>Assessment must occur in workplace operational situations where it is appropriate to do so; where this is not appropriate, assessment must occur in simulated workpla</w:t>
            </w:r>
            <w:r w:rsidRPr="00496C95">
              <w:t>ce operational situations that replicate workplace conditions.</w:t>
            </w:r>
          </w:p>
          <w:p w:rsidR="00000000" w:rsidRPr="00496C95" w:rsidP="00496C95">
            <w:pPr>
              <w:pStyle w:val="BodyText"/>
            </w:pPr>
            <w:r w:rsidRPr="00496C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6C95" w:rsidP="00496C95">
            <w:pPr>
              <w:pStyle w:val="BodyText"/>
            </w:pPr>
            <w:r w:rsidRPr="00496C95">
              <w:t xml:space="preserve">Resources for assessment </w:t>
            </w:r>
            <w:r w:rsidRPr="00496C95">
              <w:t>must include access to:</w:t>
            </w:r>
          </w:p>
          <w:p w:rsidR="00000000" w:rsidRPr="00496C95" w:rsidP="00496C95">
            <w:pPr>
              <w:pStyle w:val="ListBullet"/>
            </w:pPr>
            <w:r w:rsidRPr="00496C95">
              <w:t>relevant and appropriate materials, tools, equipment and PPE currently used in industry</w:t>
            </w:r>
          </w:p>
          <w:p w:rsidR="00000000" w:rsidRPr="00496C95" w:rsidP="00496C95">
            <w:pPr>
              <w:pStyle w:val="ListBullet"/>
            </w:pPr>
            <w:r w:rsidRPr="00496C95">
              <w:t>applicable documentation including legislation, regulations, codes of practice, workplace procedures and operation manuals.</w:t>
            </w:r>
          </w:p>
        </w:tc>
      </w:tr>
    </w:tbl>
    <w:p w:rsidR="00436825" w:rsidP="00496C95">
      <w:pPr>
        <w:pStyle w:val="NoPaddingFontSize1"/>
      </w:pPr>
    </w:p>
    <w:p w:rsidR="00436825" w:rsidP="00496C95">
      <w:pPr>
        <w:pStyle w:val="NoPaddingFontSize1"/>
      </w:pPr>
    </w:p>
    <w:p w:rsidR="00000000" w:rsidRPr="00496C95" w:rsidP="00496C95">
      <w:pPr>
        <w:pStyle w:val="Heading1"/>
      </w:pPr>
      <w:bookmarkStart w:id="5" w:name="O_1120047"/>
      <w:bookmarkEnd w:id="5"/>
      <w:r w:rsidRPr="00496C95">
        <w:t>Links</w:t>
      </w:r>
    </w:p>
    <w:p w:rsidR="00000000" w:rsidRPr="00496C95" w:rsidP="00436825">
      <w:pPr>
        <w:pStyle w:val="BodyText"/>
      </w:pPr>
      <w:r w:rsidRPr="00496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44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6C95" w:rsidP="00496C95"/>
    <w:sectPr w:rsidSect="00496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5" w:rsidRPr="00436825" w:rsidP="00436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825" w:rsidP="00496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825" w:rsidP="00496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36825" w:rsidP="00496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C95" w:rsidRPr="00436825" w:rsidP="00436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825" w:rsidRPr="002D2AF8" w:rsidP="00496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TLIJ0002 Implement grain monitoring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36825" w:rsidP="00496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76B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647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C95"/>
  </w:style>
  <w:style w:type="character" w:customStyle="1" w:styleId="Heading1Char">
    <w:name w:val="Heading 1 Char"/>
    <w:basedOn w:val="DefaultParagraphFont"/>
    <w:link w:val="Heading1"/>
    <w:rsid w:val="00496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C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6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6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C95"/>
    <w:rPr>
      <w:b/>
      <w:spacing w:val="0"/>
    </w:rPr>
  </w:style>
  <w:style w:type="paragraph" w:customStyle="1" w:styleId="SuperTitle">
    <w:name w:val="SuperTitle"/>
    <w:basedOn w:val="Title"/>
    <w:rsid w:val="00496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C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C95"/>
    <w:rPr>
      <w:i/>
    </w:rPr>
  </w:style>
  <w:style w:type="paragraph" w:styleId="Caption">
    <w:name w:val="caption"/>
    <w:basedOn w:val="BodyText"/>
    <w:next w:val="Normal"/>
    <w:qFormat/>
    <w:rsid w:val="00496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C95"/>
  </w:style>
  <w:style w:type="paragraph" w:styleId="TableofFigures">
    <w:name w:val="table of figures"/>
    <w:basedOn w:val="Normal"/>
    <w:next w:val="Normal"/>
    <w:semiHidden/>
    <w:rsid w:val="00496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C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C95"/>
    <w:rPr>
      <w:rFonts w:ascii="Wingdings" w:hAnsi="Wingdings"/>
    </w:rPr>
  </w:style>
  <w:style w:type="paragraph" w:customStyle="1" w:styleId="TableHeading">
    <w:name w:val="Table Heading"/>
    <w:basedOn w:val="HeadingBase"/>
    <w:rsid w:val="00496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C95"/>
    <w:rPr>
      <w:color w:val="0033CC"/>
      <w:u w:val="none"/>
    </w:rPr>
  </w:style>
  <w:style w:type="paragraph" w:customStyle="1" w:styleId="BodyTextRight">
    <w:name w:val="Body Text Right"/>
    <w:basedOn w:val="BodyText"/>
    <w:rsid w:val="00496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C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C95"/>
    <w:rPr>
      <w:sz w:val="32"/>
    </w:rPr>
  </w:style>
  <w:style w:type="paragraph" w:customStyle="1" w:styleId="HeadingProcedure">
    <w:name w:val="Heading Procedure"/>
    <w:basedOn w:val="HeadingBase"/>
    <w:next w:val="Normal"/>
    <w:rsid w:val="00496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C95"/>
    <w:pPr>
      <w:spacing w:before="60" w:after="60"/>
    </w:pPr>
  </w:style>
  <w:style w:type="paragraph" w:styleId="ListContinue">
    <w:name w:val="List Continue"/>
    <w:basedOn w:val="List"/>
    <w:rsid w:val="00496C95"/>
    <w:pPr>
      <w:ind w:firstLine="0"/>
    </w:pPr>
  </w:style>
  <w:style w:type="paragraph" w:customStyle="1" w:styleId="ListNote">
    <w:name w:val="List Note"/>
    <w:basedOn w:val="List"/>
    <w:rsid w:val="00496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C95"/>
    <w:rPr>
      <w:rFonts w:ascii="Courier New" w:hAnsi="Courier New"/>
    </w:rPr>
  </w:style>
  <w:style w:type="paragraph" w:customStyle="1" w:styleId="NoteBullet">
    <w:name w:val="Note Bullet"/>
    <w:basedOn w:val="Note"/>
    <w:rsid w:val="00496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C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C95"/>
    <w:rPr>
      <w:b/>
      <w:smallCaps/>
    </w:rPr>
  </w:style>
  <w:style w:type="paragraph" w:customStyle="1" w:styleId="TableListNumber">
    <w:name w:val="Table List Number"/>
    <w:basedOn w:val="ListNumber"/>
    <w:rsid w:val="00496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C95"/>
    <w:pPr>
      <w:numPr>
        <w:numId w:val="8"/>
      </w:numPr>
    </w:pPr>
  </w:style>
  <w:style w:type="paragraph" w:customStyle="1" w:styleId="ListAlpha2">
    <w:name w:val="List Alpha 2"/>
    <w:basedOn w:val="List2"/>
    <w:rsid w:val="00496C95"/>
    <w:pPr>
      <w:numPr>
        <w:numId w:val="7"/>
      </w:numPr>
    </w:pPr>
  </w:style>
  <w:style w:type="paragraph" w:styleId="List2">
    <w:name w:val="List 2"/>
    <w:basedOn w:val="BodyText"/>
    <w:rsid w:val="00496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C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C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C95"/>
    <w:pPr>
      <w:numPr>
        <w:numId w:val="3"/>
      </w:numPr>
    </w:pPr>
  </w:style>
  <w:style w:type="paragraph" w:styleId="ListContinue2">
    <w:name w:val="List Continue 2"/>
    <w:basedOn w:val="List2"/>
    <w:rsid w:val="00496C95"/>
    <w:pPr>
      <w:ind w:firstLine="0"/>
    </w:pPr>
  </w:style>
  <w:style w:type="paragraph" w:styleId="ListContinue3">
    <w:name w:val="List Continue 3"/>
    <w:basedOn w:val="List3"/>
    <w:rsid w:val="00496C95"/>
    <w:pPr>
      <w:ind w:left="1021" w:firstLine="0"/>
    </w:pPr>
  </w:style>
  <w:style w:type="paragraph" w:styleId="ListContinue4">
    <w:name w:val="List Continue 4"/>
    <w:basedOn w:val="List4"/>
    <w:rsid w:val="00496C95"/>
    <w:pPr>
      <w:ind w:firstLine="0"/>
    </w:pPr>
  </w:style>
  <w:style w:type="paragraph" w:styleId="ListContinue5">
    <w:name w:val="List Continue 5"/>
    <w:basedOn w:val="List5"/>
    <w:rsid w:val="00496C95"/>
    <w:pPr>
      <w:ind w:firstLine="0"/>
    </w:pPr>
  </w:style>
  <w:style w:type="paragraph" w:styleId="ListNumber3">
    <w:name w:val="List Number 3"/>
    <w:basedOn w:val="List3"/>
    <w:rsid w:val="00496C95"/>
    <w:pPr>
      <w:numPr>
        <w:numId w:val="4"/>
      </w:numPr>
    </w:pPr>
  </w:style>
  <w:style w:type="paragraph" w:styleId="ListNumber4">
    <w:name w:val="List Number 4"/>
    <w:basedOn w:val="List4"/>
    <w:rsid w:val="00496C95"/>
    <w:pPr>
      <w:numPr>
        <w:numId w:val="5"/>
      </w:numPr>
    </w:pPr>
  </w:style>
  <w:style w:type="paragraph" w:styleId="ListNumber5">
    <w:name w:val="List Number 5"/>
    <w:basedOn w:val="List5"/>
    <w:rsid w:val="00496C95"/>
    <w:pPr>
      <w:numPr>
        <w:numId w:val="6"/>
      </w:numPr>
    </w:pPr>
  </w:style>
  <w:style w:type="paragraph" w:styleId="BlockText">
    <w:name w:val="Block Text"/>
    <w:basedOn w:val="Normal"/>
    <w:rsid w:val="00496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C95"/>
    <w:rPr>
      <w:sz w:val="16"/>
      <w:vertAlign w:val="superscript"/>
    </w:rPr>
  </w:style>
  <w:style w:type="character" w:customStyle="1" w:styleId="Symbols">
    <w:name w:val="Symbols"/>
    <w:basedOn w:val="DefaultParagraphFont"/>
    <w:rsid w:val="00496C95"/>
    <w:rPr>
      <w:rFonts w:ascii="Symbol" w:hAnsi="Symbol"/>
    </w:rPr>
  </w:style>
  <w:style w:type="character" w:customStyle="1" w:styleId="MenuOptions">
    <w:name w:val="Menu Options"/>
    <w:basedOn w:val="DefaultParagraphFont"/>
    <w:rsid w:val="00496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C95"/>
    <w:rPr>
      <w:b/>
    </w:rPr>
  </w:style>
  <w:style w:type="character" w:customStyle="1" w:styleId="Underlined">
    <w:name w:val="Underlined"/>
    <w:basedOn w:val="DefaultParagraphFont"/>
    <w:rsid w:val="00496C95"/>
    <w:rPr>
      <w:u w:val="single"/>
    </w:rPr>
  </w:style>
  <w:style w:type="paragraph" w:customStyle="1" w:styleId="TableBodyTextRight">
    <w:name w:val="Table Body Text Right"/>
    <w:basedOn w:val="TableBodyText"/>
    <w:rsid w:val="00496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C95"/>
    <w:rPr>
      <w:sz w:val="18"/>
    </w:rPr>
  </w:style>
  <w:style w:type="paragraph" w:customStyle="1" w:styleId="BodySmallRight">
    <w:name w:val="Body Small Right"/>
    <w:basedOn w:val="BodyTextRight"/>
    <w:rsid w:val="00496C95"/>
    <w:rPr>
      <w:sz w:val="18"/>
      <w:szCs w:val="18"/>
    </w:rPr>
  </w:style>
  <w:style w:type="paragraph" w:customStyle="1" w:styleId="MarginEdition">
    <w:name w:val="Margin Edition"/>
    <w:basedOn w:val="MarginNote"/>
    <w:rsid w:val="00496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C95"/>
    <w:rPr>
      <w:sz w:val="2"/>
      <w:szCs w:val="2"/>
    </w:rPr>
  </w:style>
  <w:style w:type="character" w:customStyle="1" w:styleId="Small">
    <w:name w:val="Small"/>
    <w:basedOn w:val="DefaultParagraphFont"/>
    <w:rsid w:val="00496C95"/>
    <w:rPr>
      <w:sz w:val="16"/>
    </w:rPr>
  </w:style>
  <w:style w:type="paragraph" w:customStyle="1" w:styleId="WideTable">
    <w:name w:val="Wide Table"/>
    <w:basedOn w:val="Normal"/>
    <w:rsid w:val="00496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C95"/>
  </w:style>
  <w:style w:type="paragraph" w:styleId="Quote">
    <w:name w:val="Quote"/>
    <w:basedOn w:val="Heading1"/>
    <w:link w:val="QuoteChar"/>
    <w:qFormat/>
    <w:rsid w:val="00496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C95"/>
    <w:pPr>
      <w:pageBreakBefore/>
    </w:pPr>
  </w:style>
  <w:style w:type="paragraph" w:customStyle="1" w:styleId="Border">
    <w:name w:val="Border"/>
    <w:basedOn w:val="Normal"/>
    <w:qFormat/>
    <w:rsid w:val="00496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C95"/>
    <w:rPr>
      <w:u w:val="single"/>
    </w:rPr>
  </w:style>
  <w:style w:type="character" w:customStyle="1" w:styleId="BoldandItalics">
    <w:name w:val="Bold and Italics"/>
    <w:qFormat/>
    <w:rsid w:val="00496C95"/>
    <w:rPr>
      <w:b/>
      <w:i/>
      <w:u w:val="none"/>
    </w:rPr>
  </w:style>
  <w:style w:type="paragraph" w:styleId="BalloonText">
    <w:name w:val="Balloon Text"/>
    <w:basedOn w:val="Normal"/>
    <w:link w:val="BalloonTextChar"/>
    <w:rsid w:val="00496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C95"/>
    <w:pPr>
      <w:spacing w:before="0" w:after="0"/>
    </w:pPr>
  </w:style>
  <w:style w:type="paragraph" w:customStyle="1" w:styleId="BodyTextBold">
    <w:name w:val="Body Text Bold"/>
    <w:basedOn w:val="BodyText"/>
    <w:qFormat/>
    <w:rsid w:val="00496C95"/>
    <w:rPr>
      <w:b/>
    </w:rPr>
  </w:style>
  <w:style w:type="character" w:styleId="Hyperlink">
    <w:name w:val="Hyperlink"/>
    <w:basedOn w:val="DefaultParagraphFont"/>
    <w:uiPriority w:val="99"/>
    <w:unhideWhenUsed/>
    <w:rsid w:val="00436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3497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TLIJ0002 Implement grain monitoring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