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3818" w:rsidP="00E838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TLIJ0001 Apply grain protection measures</w:t>
      </w:r>
      <w:r>
        <w:fldChar w:fldCharType="end"/>
      </w:r>
    </w:p>
    <w:p w:rsidR="00E83818" w:rsidP="00E83818">
      <w:pPr>
        <w:pStyle w:val="Version"/>
        <w:sectPr w:rsidSect="009C72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7252" w:rsidP="009C7252">
      <w:pPr>
        <w:pStyle w:val="SuperHeading"/>
      </w:pPr>
      <w:r w:rsidRPr="009C7252">
        <w:t>TLIJ0001 Apply grain protection measures</w:t>
      </w:r>
    </w:p>
    <w:p w:rsidR="00000000" w:rsidRPr="009C7252" w:rsidP="009C7252">
      <w:pPr>
        <w:pStyle w:val="Heading1"/>
      </w:pPr>
      <w:bookmarkStart w:id="1" w:name="O_1119994"/>
      <w:bookmarkEnd w:id="1"/>
      <w:r w:rsidRPr="009C725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72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52" w:rsidP="009C7252">
            <w:pPr>
              <w:pStyle w:val="BodyText"/>
            </w:pPr>
            <w:r w:rsidRPr="009C7252">
              <w:t>Release 1. This is the first release of this unit of competency in the TLI Transport and Logistics Training Package.</w:t>
            </w:r>
          </w:p>
        </w:tc>
      </w:tr>
    </w:tbl>
    <w:p w:rsidR="00000000" w:rsidRPr="009C7252" w:rsidP="009C7252">
      <w:pPr>
        <w:pStyle w:val="NoPaddingFontSize1"/>
      </w:pPr>
    </w:p>
    <w:p w:rsidR="00000000" w:rsidRPr="009C7252" w:rsidP="009C7252">
      <w:pPr>
        <w:pStyle w:val="AllowPageBreak"/>
      </w:pPr>
    </w:p>
    <w:p w:rsidR="00000000" w:rsidRPr="009C7252" w:rsidP="009C7252">
      <w:pPr>
        <w:pStyle w:val="Heading1"/>
      </w:pPr>
      <w:bookmarkStart w:id="2" w:name="O_1119995"/>
      <w:bookmarkEnd w:id="2"/>
      <w:r w:rsidRPr="009C725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72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52" w:rsidP="009C7252">
            <w:pPr>
              <w:pStyle w:val="BodyText"/>
            </w:pPr>
            <w:r w:rsidRPr="009C7252">
              <w:t>This unit involves the skills and knowledge required to apply grain protection measur</w:t>
            </w:r>
            <w:r w:rsidRPr="009C7252">
              <w:t>es.</w:t>
            </w:r>
          </w:p>
          <w:p w:rsidR="00000000" w:rsidRPr="009C7252" w:rsidP="009C7252">
            <w:pPr>
              <w:pStyle w:val="BodyText"/>
            </w:pPr>
            <w:r w:rsidRPr="009C7252">
              <w:t>It includes identifying, preparing for and applying pest control measures, monitoring the application of pest control measures, ventilating fumigated storages and maintaining records in accordance with workplace requirements.</w:t>
            </w:r>
          </w:p>
          <w:p w:rsidR="00000000" w:rsidRPr="009C7252" w:rsidP="009C7252">
            <w:pPr>
              <w:pStyle w:val="BodyText"/>
            </w:pPr>
            <w:r w:rsidRPr="009C7252">
              <w:t>Work is performed under so</w:t>
            </w:r>
            <w:r w:rsidRPr="009C7252">
              <w:t>me supervision, generally within a team/group environment.</w:t>
            </w:r>
          </w:p>
          <w:p w:rsidR="00000000" w:rsidRPr="009C7252" w:rsidP="009C7252">
            <w:pPr>
              <w:pStyle w:val="BodyText"/>
            </w:pPr>
            <w:r w:rsidRPr="009C7252">
              <w:t>No licensing, legislative or certification requirements apply to this unit at the time of publication.</w:t>
            </w:r>
          </w:p>
        </w:tc>
      </w:tr>
    </w:tbl>
    <w:p w:rsidR="00000000" w:rsidRPr="009C7252" w:rsidP="009C7252">
      <w:pPr>
        <w:pStyle w:val="NoPaddingFontSize1"/>
      </w:pPr>
    </w:p>
    <w:p w:rsidR="00000000" w:rsidRPr="009C7252" w:rsidP="009C7252">
      <w:pPr>
        <w:pStyle w:val="AllowPageBreak"/>
      </w:pPr>
    </w:p>
    <w:p w:rsidR="00000000" w:rsidRPr="009C7252" w:rsidP="009C7252">
      <w:pPr>
        <w:pStyle w:val="Heading1"/>
      </w:pPr>
      <w:bookmarkStart w:id="3" w:name="O_1119996"/>
      <w:bookmarkEnd w:id="3"/>
      <w:r w:rsidRPr="009C725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72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52" w:rsidP="009C7252">
            <w:pPr>
              <w:pStyle w:val="BodyText"/>
            </w:pPr>
            <w:r w:rsidRPr="009C7252">
              <w:t>Not applicable.</w:t>
            </w:r>
          </w:p>
        </w:tc>
      </w:tr>
    </w:tbl>
    <w:p w:rsidR="00000000" w:rsidRPr="009C7252" w:rsidP="009C7252">
      <w:pPr>
        <w:pStyle w:val="NoPaddingFontSize1"/>
      </w:pPr>
    </w:p>
    <w:p w:rsidR="00000000" w:rsidRPr="009C7252" w:rsidP="009C7252">
      <w:pPr>
        <w:pStyle w:val="AllowPageBreak"/>
      </w:pPr>
    </w:p>
    <w:p w:rsidR="00000000" w:rsidRPr="009C7252" w:rsidP="009C7252">
      <w:pPr>
        <w:pStyle w:val="Heading1"/>
      </w:pPr>
      <w:bookmarkStart w:id="4" w:name="O_1119997"/>
      <w:bookmarkEnd w:id="4"/>
      <w:r w:rsidRPr="009C725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72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52" w:rsidP="009C7252">
            <w:pPr>
              <w:pStyle w:val="BodyText"/>
            </w:pPr>
            <w:r w:rsidRPr="009C7252">
              <w:t>J – Quality</w:t>
            </w:r>
          </w:p>
        </w:tc>
      </w:tr>
    </w:tbl>
    <w:p w:rsidR="00000000" w:rsidRPr="009C7252" w:rsidP="009C7252">
      <w:pPr>
        <w:pStyle w:val="NoPaddingFontSize1"/>
      </w:pPr>
    </w:p>
    <w:p w:rsidR="00000000" w:rsidRPr="009C7252" w:rsidP="009C7252">
      <w:pPr>
        <w:pStyle w:val="AllowPageBreak"/>
      </w:pPr>
    </w:p>
    <w:p w:rsidR="00000000" w:rsidRPr="009C7252" w:rsidP="009C7252">
      <w:pPr>
        <w:pStyle w:val="Heading1"/>
      </w:pPr>
      <w:bookmarkStart w:id="5" w:name="O_1119998"/>
      <w:bookmarkEnd w:id="5"/>
      <w:r w:rsidRPr="009C725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72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52" w:rsidP="009C7252">
            <w:pPr>
              <w:pStyle w:val="BodyText"/>
            </w:pPr>
            <w:r w:rsidRPr="009C7252">
              <w:t>Not applicable.</w:t>
            </w:r>
          </w:p>
        </w:tc>
      </w:tr>
    </w:tbl>
    <w:p w:rsidR="00000000" w:rsidRPr="009C7252" w:rsidP="009C7252">
      <w:pPr>
        <w:pStyle w:val="NoPaddingFontSize1"/>
      </w:pPr>
    </w:p>
    <w:p w:rsidR="00000000" w:rsidRPr="009C7252" w:rsidP="009C7252">
      <w:pPr>
        <w:pStyle w:val="AllowPageBreak"/>
      </w:pPr>
    </w:p>
    <w:p w:rsidR="00000000" w:rsidRPr="009C7252" w:rsidP="009C7252">
      <w:pPr>
        <w:pStyle w:val="Heading1"/>
      </w:pPr>
      <w:bookmarkStart w:id="6" w:name="O_1119999"/>
      <w:bookmarkEnd w:id="6"/>
      <w:r w:rsidRPr="009C725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29"/>
        <w:gridCol w:w="1867"/>
        <w:gridCol w:w="564"/>
        <w:gridCol w:w="2265"/>
        <w:gridCol w:w="3274"/>
        <w:gridCol w:w="597"/>
      </w:tblGrid>
      <w:tr w:rsidTr="009C7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22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52" w:rsidP="009C7252">
            <w:pPr>
              <w:pStyle w:val="BodyText"/>
            </w:pPr>
            <w:r w:rsidRPr="009C7252">
              <w:rPr>
                <w:rStyle w:val="SpecialBold"/>
              </w:rPr>
              <w:t>ELEMENTS</w:t>
            </w:r>
          </w:p>
        </w:tc>
        <w:tc>
          <w:tcPr>
            <w:tcW w:w="38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52">
            <w:pPr>
              <w:pStyle w:val="BodyText"/>
              <w:rPr>
                <w:lang w:val="en-NZ"/>
              </w:rPr>
            </w:pPr>
            <w:r w:rsidRPr="009C7252">
              <w:rPr>
                <w:rStyle w:val="SpecialBold"/>
              </w:rPr>
              <w:t>PERFORMANCE CRITERIA</w:t>
            </w:r>
          </w:p>
        </w:tc>
      </w:tr>
      <w:tr w:rsidTr="009C7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22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52">
            <w:pPr>
              <w:pStyle w:val="BodyText"/>
              <w:rPr>
                <w:lang w:val="en-NZ"/>
              </w:rPr>
            </w:pPr>
            <w:r w:rsidRPr="009C7252">
              <w:t>Elements describe the essential outcomes.</w:t>
            </w:r>
          </w:p>
        </w:tc>
        <w:tc>
          <w:tcPr>
            <w:tcW w:w="38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52">
            <w:pPr>
              <w:pStyle w:val="BodyText"/>
              <w:rPr>
                <w:lang w:val="en-NZ"/>
              </w:rPr>
            </w:pPr>
            <w:r w:rsidRPr="009C7252">
              <w:t>Performance criteria describe the performance needed to demonstrate achievement of the element.</w:t>
            </w:r>
          </w:p>
        </w:tc>
      </w:tr>
      <w:tr w:rsidTr="009C7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97" w:type="dxa"/>
        </w:trPr>
        <w:tc>
          <w:tcPr>
            <w:tcW w:w="52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52" w:rsidP="009C7252">
            <w:pPr>
              <w:pStyle w:val="BodyText"/>
            </w:pPr>
            <w:r w:rsidRPr="009C7252">
              <w:rPr>
                <w:rStyle w:val="SpecialBold"/>
              </w:rPr>
              <w:t>1</w:t>
            </w:r>
          </w:p>
        </w:tc>
        <w:tc>
          <w:tcPr>
            <w:tcW w:w="18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52" w:rsidP="009C7252">
            <w:pPr>
              <w:pStyle w:val="BodyText"/>
            </w:pPr>
            <w:r w:rsidRPr="009C7252">
              <w:rPr>
                <w:rStyle w:val="SpecialBold"/>
              </w:rPr>
              <w:t>Prepare to apply pest control measures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52">
            <w:pPr>
              <w:pStyle w:val="BodyText"/>
              <w:rPr>
                <w:lang w:val="en-NZ"/>
              </w:rPr>
            </w:pPr>
            <w:r w:rsidRPr="009C7252">
              <w:rPr>
                <w:rStyle w:val="SpecialBold"/>
              </w:rPr>
              <w:t>1.1</w:t>
            </w:r>
          </w:p>
        </w:tc>
        <w:tc>
          <w:tcPr>
            <w:tcW w:w="55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52">
            <w:pPr>
              <w:pStyle w:val="BodyText"/>
              <w:rPr>
                <w:lang w:val="en-NZ"/>
              </w:rPr>
            </w:pPr>
            <w:r w:rsidRPr="009C7252">
              <w:t>Legal and workplace requirements for fumigation are followed in accordance with work order</w:t>
            </w:r>
          </w:p>
        </w:tc>
      </w:tr>
      <w:tr w:rsidTr="009C7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97" w:type="dxa"/>
        </w:trPr>
        <w:tc>
          <w:tcPr>
            <w:tcW w:w="52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52">
            <w:pPr>
              <w:pStyle w:val="BodyText"/>
              <w:keepLines w:val="0"/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52">
            <w:pPr>
              <w:pStyle w:val="BodyText"/>
              <w:rPr>
                <w:lang w:val="en-NZ"/>
              </w:rPr>
            </w:pPr>
            <w:r w:rsidRPr="009C7252">
              <w:rPr>
                <w:rStyle w:val="SpecialBold"/>
              </w:rPr>
              <w:t>1.2</w:t>
            </w:r>
          </w:p>
        </w:tc>
        <w:tc>
          <w:tcPr>
            <w:tcW w:w="55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52">
            <w:pPr>
              <w:pStyle w:val="BodyText"/>
              <w:rPr>
                <w:lang w:val="en-NZ"/>
              </w:rPr>
            </w:pPr>
            <w:r w:rsidRPr="009C7252">
              <w:t>Hazards are identified, risks are assessed and control measures are implemented</w:t>
            </w:r>
          </w:p>
        </w:tc>
      </w:tr>
      <w:tr w:rsidTr="009C7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97" w:type="dxa"/>
        </w:trPr>
        <w:tc>
          <w:tcPr>
            <w:tcW w:w="52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52">
            <w:pPr>
              <w:pStyle w:val="BodyText"/>
              <w:keepLines w:val="0"/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52">
            <w:pPr>
              <w:pStyle w:val="BodyText"/>
              <w:rPr>
                <w:lang w:val="en-NZ"/>
              </w:rPr>
            </w:pPr>
            <w:r w:rsidRPr="009C7252">
              <w:rPr>
                <w:rStyle w:val="SpecialBold"/>
              </w:rPr>
              <w:t>1.3</w:t>
            </w:r>
          </w:p>
        </w:tc>
        <w:tc>
          <w:tcPr>
            <w:tcW w:w="55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52">
            <w:pPr>
              <w:pStyle w:val="BodyText"/>
              <w:rPr>
                <w:lang w:val="en-NZ"/>
              </w:rPr>
            </w:pPr>
            <w:r w:rsidRPr="009C7252">
              <w:t>Fumigation or spray application requirements are followed using silo and grain storage information in accordance with manufacturer instructions</w:t>
            </w:r>
          </w:p>
        </w:tc>
      </w:tr>
      <w:tr w:rsidTr="009C7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97" w:type="dxa"/>
        </w:trPr>
        <w:tc>
          <w:tcPr>
            <w:tcW w:w="52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52">
            <w:pPr>
              <w:pStyle w:val="BodyText"/>
              <w:keepLines w:val="0"/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52">
            <w:pPr>
              <w:pStyle w:val="BodyText"/>
              <w:rPr>
                <w:lang w:val="en-NZ"/>
              </w:rPr>
            </w:pPr>
            <w:r w:rsidRPr="009C7252">
              <w:rPr>
                <w:rStyle w:val="SpecialBold"/>
              </w:rPr>
              <w:t>1.4</w:t>
            </w:r>
          </w:p>
        </w:tc>
        <w:tc>
          <w:tcPr>
            <w:tcW w:w="55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52">
            <w:pPr>
              <w:pStyle w:val="BodyText"/>
              <w:rPr>
                <w:lang w:val="en-NZ"/>
              </w:rPr>
            </w:pPr>
            <w:r w:rsidRPr="009C7252">
              <w:t>Records are conf</w:t>
            </w:r>
            <w:r w:rsidRPr="009C7252">
              <w:t>irmed by site measurements and observations</w:t>
            </w:r>
          </w:p>
        </w:tc>
      </w:tr>
      <w:tr w:rsidTr="009C7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97" w:type="dxa"/>
        </w:trPr>
        <w:tc>
          <w:tcPr>
            <w:tcW w:w="52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52">
            <w:pPr>
              <w:pStyle w:val="BodyText"/>
              <w:keepLines w:val="0"/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52">
            <w:pPr>
              <w:pStyle w:val="BodyText"/>
              <w:rPr>
                <w:lang w:val="en-NZ"/>
              </w:rPr>
            </w:pPr>
            <w:r w:rsidRPr="009C7252">
              <w:rPr>
                <w:rStyle w:val="SpecialBold"/>
              </w:rPr>
              <w:t>1.5</w:t>
            </w:r>
          </w:p>
        </w:tc>
        <w:tc>
          <w:tcPr>
            <w:tcW w:w="55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52">
            <w:pPr>
              <w:pStyle w:val="BodyText"/>
              <w:rPr>
                <w:lang w:val="en-NZ"/>
              </w:rPr>
            </w:pPr>
            <w:r w:rsidRPr="009C7252">
              <w:t>Access and site-specific safety requirements to meet legislation and workplace instructions are determined</w:t>
            </w:r>
          </w:p>
        </w:tc>
      </w:tr>
      <w:tr w:rsidTr="009C7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97" w:type="dxa"/>
        </w:trPr>
        <w:tc>
          <w:tcPr>
            <w:tcW w:w="52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52">
            <w:pPr>
              <w:pStyle w:val="BodyText"/>
              <w:keepLines w:val="0"/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52">
            <w:pPr>
              <w:pStyle w:val="BodyText"/>
              <w:rPr>
                <w:lang w:val="en-NZ"/>
              </w:rPr>
            </w:pPr>
            <w:r w:rsidRPr="009C7252">
              <w:rPr>
                <w:rStyle w:val="SpecialBold"/>
              </w:rPr>
              <w:t>1.6</w:t>
            </w:r>
          </w:p>
        </w:tc>
        <w:tc>
          <w:tcPr>
            <w:tcW w:w="55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52">
            <w:pPr>
              <w:pStyle w:val="BodyText"/>
              <w:rPr>
                <w:lang w:val="en-NZ"/>
              </w:rPr>
            </w:pPr>
            <w:r w:rsidRPr="009C7252">
              <w:t>Equipment is checked for conformance to workplace requirements and manufacturer specifications</w:t>
            </w:r>
          </w:p>
        </w:tc>
      </w:tr>
      <w:tr w:rsidTr="009C7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97" w:type="dxa"/>
        </w:trPr>
        <w:tc>
          <w:tcPr>
            <w:tcW w:w="52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52">
            <w:pPr>
              <w:pStyle w:val="BodyText"/>
              <w:keepLines w:val="0"/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52">
            <w:pPr>
              <w:pStyle w:val="BodyText"/>
              <w:rPr>
                <w:lang w:val="en-NZ"/>
              </w:rPr>
            </w:pPr>
            <w:r w:rsidRPr="009C7252">
              <w:rPr>
                <w:rStyle w:val="SpecialBold"/>
              </w:rPr>
              <w:t>1.7</w:t>
            </w:r>
          </w:p>
        </w:tc>
        <w:tc>
          <w:tcPr>
            <w:tcW w:w="55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52">
            <w:pPr>
              <w:pStyle w:val="BodyText"/>
              <w:rPr>
                <w:lang w:val="en-NZ"/>
              </w:rPr>
            </w:pPr>
            <w:r w:rsidRPr="009C7252">
              <w:t>Storage is checked for gas-proofing in accordance with manufacturer and workplace instructions prior to fumigation</w:t>
            </w:r>
          </w:p>
        </w:tc>
      </w:tr>
      <w:tr w:rsidTr="009C7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97" w:type="dxa"/>
        </w:trPr>
        <w:tc>
          <w:tcPr>
            <w:tcW w:w="52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52" w:rsidP="009C7252">
            <w:pPr>
              <w:pStyle w:val="BodyText"/>
            </w:pPr>
            <w:r w:rsidRPr="009C7252">
              <w:rPr>
                <w:rStyle w:val="SpecialBold"/>
              </w:rPr>
              <w:t>2</w:t>
            </w:r>
          </w:p>
        </w:tc>
        <w:tc>
          <w:tcPr>
            <w:tcW w:w="18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52" w:rsidP="009C7252">
            <w:pPr>
              <w:pStyle w:val="BodyText"/>
            </w:pPr>
            <w:r w:rsidRPr="009C7252">
              <w:rPr>
                <w:rStyle w:val="SpecialBold"/>
              </w:rPr>
              <w:t>Apply pest control measures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52">
            <w:pPr>
              <w:pStyle w:val="BodyText"/>
              <w:rPr>
                <w:lang w:val="en-NZ"/>
              </w:rPr>
            </w:pPr>
            <w:r w:rsidRPr="009C7252">
              <w:rPr>
                <w:rStyle w:val="SpecialBold"/>
              </w:rPr>
              <w:t>2.1</w:t>
            </w:r>
          </w:p>
        </w:tc>
        <w:tc>
          <w:tcPr>
            <w:tcW w:w="55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52">
            <w:pPr>
              <w:pStyle w:val="BodyText"/>
              <w:rPr>
                <w:lang w:val="en-NZ"/>
              </w:rPr>
            </w:pPr>
            <w:r w:rsidRPr="009C7252">
              <w:t>Pe</w:t>
            </w:r>
            <w:r w:rsidRPr="009C7252">
              <w:t>rsonal protective equipment (PPE) and engineering controls are selected and used in accordance with workplace procedures</w:t>
            </w:r>
          </w:p>
        </w:tc>
      </w:tr>
      <w:tr w:rsidTr="009C7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97" w:type="dxa"/>
        </w:trPr>
        <w:tc>
          <w:tcPr>
            <w:tcW w:w="52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52">
            <w:pPr>
              <w:pStyle w:val="BodyText"/>
              <w:keepLines w:val="0"/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52">
            <w:pPr>
              <w:pStyle w:val="BodyText"/>
              <w:rPr>
                <w:lang w:val="en-NZ"/>
              </w:rPr>
            </w:pPr>
            <w:r w:rsidRPr="009C7252">
              <w:rPr>
                <w:rStyle w:val="SpecialBold"/>
              </w:rPr>
              <w:t>2.2</w:t>
            </w:r>
          </w:p>
        </w:tc>
        <w:tc>
          <w:tcPr>
            <w:tcW w:w="55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52">
            <w:pPr>
              <w:pStyle w:val="BodyText"/>
              <w:rPr>
                <w:lang w:val="en-NZ"/>
              </w:rPr>
            </w:pPr>
            <w:r w:rsidRPr="009C7252">
              <w:t>Fumigant and spray applications are applied in accordance with manufacturer and workplace instructions</w:t>
            </w:r>
          </w:p>
        </w:tc>
      </w:tr>
      <w:tr w:rsidTr="009C7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97" w:type="dxa"/>
        </w:trPr>
        <w:tc>
          <w:tcPr>
            <w:tcW w:w="52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52">
            <w:pPr>
              <w:pStyle w:val="BodyText"/>
              <w:keepLines w:val="0"/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52">
            <w:pPr>
              <w:pStyle w:val="BodyText"/>
              <w:rPr>
                <w:lang w:val="en-NZ"/>
              </w:rPr>
            </w:pPr>
            <w:r w:rsidRPr="009C7252">
              <w:rPr>
                <w:rStyle w:val="SpecialBold"/>
              </w:rPr>
              <w:t>2.3</w:t>
            </w:r>
          </w:p>
        </w:tc>
        <w:tc>
          <w:tcPr>
            <w:tcW w:w="55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52">
            <w:pPr>
              <w:pStyle w:val="BodyText"/>
              <w:rPr>
                <w:lang w:val="en-NZ"/>
              </w:rPr>
            </w:pPr>
            <w:r w:rsidRPr="009C7252">
              <w:t>Warning signs are placed in accordance with legislative and workplace requirements</w:t>
            </w:r>
          </w:p>
        </w:tc>
      </w:tr>
      <w:tr w:rsidTr="009C7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97" w:type="dxa"/>
        </w:trPr>
        <w:tc>
          <w:tcPr>
            <w:tcW w:w="52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52">
            <w:pPr>
              <w:pStyle w:val="BodyText"/>
              <w:keepLines w:val="0"/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52">
            <w:pPr>
              <w:pStyle w:val="BodyText"/>
              <w:rPr>
                <w:lang w:val="en-NZ"/>
              </w:rPr>
            </w:pPr>
            <w:r w:rsidRPr="009C7252">
              <w:rPr>
                <w:rStyle w:val="SpecialBold"/>
              </w:rPr>
              <w:t>2.4</w:t>
            </w:r>
          </w:p>
        </w:tc>
        <w:tc>
          <w:tcPr>
            <w:tcW w:w="55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52">
            <w:pPr>
              <w:pStyle w:val="BodyText"/>
              <w:rPr>
                <w:lang w:val="en-NZ"/>
              </w:rPr>
            </w:pPr>
            <w:r w:rsidRPr="009C7252">
              <w:t>Application of fumigant or spray is monitored to ensure effectiveness of operation</w:t>
            </w:r>
          </w:p>
        </w:tc>
      </w:tr>
      <w:tr w:rsidTr="009C7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97" w:type="dxa"/>
        </w:trPr>
        <w:tc>
          <w:tcPr>
            <w:tcW w:w="52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52">
            <w:pPr>
              <w:pStyle w:val="BodyText"/>
              <w:keepLines w:val="0"/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52">
            <w:pPr>
              <w:pStyle w:val="BodyText"/>
              <w:rPr>
                <w:lang w:val="en-NZ"/>
              </w:rPr>
            </w:pPr>
            <w:r w:rsidRPr="009C7252">
              <w:rPr>
                <w:rStyle w:val="SpecialBold"/>
              </w:rPr>
              <w:t>2.5</w:t>
            </w:r>
          </w:p>
        </w:tc>
        <w:tc>
          <w:tcPr>
            <w:tcW w:w="55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52">
            <w:pPr>
              <w:pStyle w:val="BodyText"/>
              <w:rPr>
                <w:lang w:val="en-NZ"/>
              </w:rPr>
            </w:pPr>
            <w:r w:rsidRPr="009C7252">
              <w:t>Empty fumigant containers are returned to manufacturer or retailer or are disposed of in accordance with legislative and workplace requirements</w:t>
            </w:r>
          </w:p>
        </w:tc>
      </w:tr>
      <w:tr w:rsidTr="009C7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97" w:type="dxa"/>
        </w:trPr>
        <w:tc>
          <w:tcPr>
            <w:tcW w:w="52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52">
            <w:pPr>
              <w:pStyle w:val="BodyText"/>
              <w:keepLines w:val="0"/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52">
            <w:pPr>
              <w:pStyle w:val="BodyText"/>
              <w:rPr>
                <w:lang w:val="en-NZ"/>
              </w:rPr>
            </w:pPr>
            <w:r w:rsidRPr="009C7252">
              <w:rPr>
                <w:rStyle w:val="SpecialBold"/>
              </w:rPr>
              <w:t>2.6</w:t>
            </w:r>
          </w:p>
        </w:tc>
        <w:tc>
          <w:tcPr>
            <w:tcW w:w="55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52">
            <w:pPr>
              <w:pStyle w:val="BodyText"/>
              <w:rPr>
                <w:lang w:val="en-NZ"/>
              </w:rPr>
            </w:pPr>
            <w:r w:rsidRPr="009C7252">
              <w:t>Baits are prepared in accordance with legislation and manufacturer instructions</w:t>
            </w:r>
          </w:p>
        </w:tc>
      </w:tr>
      <w:tr w:rsidTr="009C7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97" w:type="dxa"/>
        </w:trPr>
        <w:tc>
          <w:tcPr>
            <w:tcW w:w="52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52">
            <w:pPr>
              <w:pStyle w:val="BodyText"/>
              <w:keepLines w:val="0"/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52">
            <w:pPr>
              <w:pStyle w:val="BodyText"/>
              <w:rPr>
                <w:lang w:val="en-NZ"/>
              </w:rPr>
            </w:pPr>
            <w:r w:rsidRPr="009C7252">
              <w:rPr>
                <w:rStyle w:val="SpecialBold"/>
              </w:rPr>
              <w:t>2.7</w:t>
            </w:r>
          </w:p>
        </w:tc>
        <w:tc>
          <w:tcPr>
            <w:tcW w:w="55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52" w:rsidP="009C7252">
            <w:pPr>
              <w:pStyle w:val="BodyText"/>
            </w:pPr>
            <w:r w:rsidRPr="009C7252">
              <w:t>Baits are placed</w:t>
            </w:r>
            <w:r w:rsidRPr="009C7252">
              <w:t xml:space="preserve"> in accordance with site requirements and manufacturer instructions</w:t>
            </w:r>
          </w:p>
        </w:tc>
      </w:tr>
    </w:tbl>
    <w:p w:rsidR="00E83818" w:rsidP="009C7252">
      <w:pPr>
        <w:pStyle w:val="NoPaddingFontSize1"/>
      </w:pPr>
    </w:p>
    <w:p w:rsidR="00E83818" w:rsidP="009C7252">
      <w:pPr>
        <w:pStyle w:val="NoPaddingFontSize1"/>
      </w:pPr>
    </w:p>
    <w:p w:rsidR="00000000" w:rsidRPr="009C7252" w:rsidP="009C7252">
      <w:pPr>
        <w:pStyle w:val="Heading1"/>
      </w:pPr>
      <w:bookmarkStart w:id="7" w:name="O_1120000"/>
      <w:bookmarkEnd w:id="7"/>
      <w:r w:rsidRPr="009C725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72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52" w:rsidP="009C7252">
            <w:pPr>
              <w:pStyle w:val="BodyText"/>
            </w:pPr>
            <w:r w:rsidRPr="009C7252">
              <w:t>Foundation skills essential to performance are explicit in the performance criteria of this unit of competency.</w:t>
            </w:r>
          </w:p>
        </w:tc>
      </w:tr>
    </w:tbl>
    <w:p w:rsidR="00000000" w:rsidRPr="009C7252" w:rsidP="009C7252">
      <w:pPr>
        <w:pStyle w:val="NoPaddingFontSize1"/>
      </w:pPr>
    </w:p>
    <w:p w:rsidR="00000000" w:rsidRPr="009C7252" w:rsidP="009C7252">
      <w:pPr>
        <w:pStyle w:val="AllowPageBreak"/>
      </w:pPr>
    </w:p>
    <w:p w:rsidR="00000000" w:rsidRPr="009C7252" w:rsidP="009C7252">
      <w:pPr>
        <w:pStyle w:val="Heading1"/>
      </w:pPr>
      <w:bookmarkStart w:id="8" w:name="O_1120001"/>
      <w:bookmarkEnd w:id="8"/>
      <w:r w:rsidRPr="009C725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72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52" w:rsidP="009C7252">
            <w:pPr>
              <w:pStyle w:val="BodyText"/>
            </w:pPr>
            <w:r w:rsidRPr="009C7252">
              <w:t>Range is restricted to essential operating conditions and any other variables essential to the work environment.</w:t>
            </w:r>
          </w:p>
          <w:p w:rsidR="00000000" w:rsidRPr="009C7252" w:rsidP="009C7252">
            <w:pPr>
              <w:pStyle w:val="BodyText"/>
            </w:pPr>
            <w:r w:rsidRPr="009C7252">
              <w:t>Non-essential conditions can be found in the TLI Transport and Logistics Training Package Companion Volume Implementation G</w:t>
            </w:r>
            <w:r w:rsidRPr="009C7252">
              <w:t>uide.</w:t>
            </w:r>
          </w:p>
        </w:tc>
      </w:tr>
    </w:tbl>
    <w:p w:rsidR="00000000" w:rsidRPr="009C7252" w:rsidP="009C7252">
      <w:pPr>
        <w:pStyle w:val="NoPaddingFontSize1"/>
      </w:pPr>
    </w:p>
    <w:p w:rsidR="00000000" w:rsidRPr="009C7252" w:rsidP="009C7252">
      <w:pPr>
        <w:pStyle w:val="AllowPageBreak"/>
      </w:pPr>
    </w:p>
    <w:p w:rsidR="00000000" w:rsidRPr="009C7252" w:rsidP="009C7252">
      <w:pPr>
        <w:pStyle w:val="Heading1"/>
      </w:pPr>
      <w:bookmarkStart w:id="9" w:name="O_1120002"/>
      <w:bookmarkEnd w:id="9"/>
      <w:r w:rsidRPr="009C725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72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52" w:rsidP="009C7252">
            <w:pPr>
              <w:pStyle w:val="BodyText"/>
            </w:pPr>
            <w:r w:rsidRPr="009C7252">
              <w:t>This unit replaces and is equivalent to TLIJ2003 Apply grain protection measures.</w:t>
            </w:r>
          </w:p>
        </w:tc>
      </w:tr>
    </w:tbl>
    <w:p w:rsidR="00000000" w:rsidRPr="009C7252" w:rsidP="009C7252">
      <w:pPr>
        <w:pStyle w:val="NoPaddingFontSize1"/>
      </w:pPr>
    </w:p>
    <w:p w:rsidR="00000000" w:rsidRPr="009C7252" w:rsidP="009C7252">
      <w:pPr>
        <w:pStyle w:val="AllowPageBreak"/>
      </w:pPr>
    </w:p>
    <w:p w:rsidR="00000000" w:rsidRPr="009C7252" w:rsidP="009C7252">
      <w:pPr>
        <w:pStyle w:val="Heading1"/>
      </w:pPr>
      <w:bookmarkStart w:id="10" w:name="O_1120009"/>
      <w:bookmarkEnd w:id="10"/>
      <w:r w:rsidRPr="009C7252">
        <w:t>Links</w:t>
      </w:r>
    </w:p>
    <w:p w:rsidR="00000000" w:rsidRPr="009C7252" w:rsidP="00E83818">
      <w:pPr>
        <w:pStyle w:val="BodyText"/>
      </w:pPr>
      <w:r w:rsidRPr="009C72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4440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C7252" w:rsidP="009C7252"/>
    <w:sectPr w:rsidSect="009C72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2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252" w:rsidRPr="00E83818" w:rsidP="00E838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2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818" w:rsidP="009C72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3818" w:rsidP="009C72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83818" w:rsidP="009C72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2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8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7252" w:rsidRPr="00E83818" w:rsidP="00E838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2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818" w:rsidRPr="002D2AF8" w:rsidP="009C72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TLIJ0001 Apply grain protection measures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83818" w:rsidP="009C72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2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72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72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72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72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72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72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72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72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72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72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7252"/>
  </w:style>
  <w:style w:type="character" w:customStyle="1" w:styleId="Heading1Char">
    <w:name w:val="Heading 1 Char"/>
    <w:basedOn w:val="DefaultParagraphFont"/>
    <w:link w:val="Heading1"/>
    <w:rsid w:val="009C72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72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725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C7252"/>
    <w:rPr>
      <w:b/>
      <w:spacing w:val="0"/>
    </w:rPr>
  </w:style>
  <w:style w:type="paragraph" w:customStyle="1" w:styleId="SuperHeading">
    <w:name w:val="SuperHeading"/>
    <w:basedOn w:val="Normal"/>
    <w:rsid w:val="009C72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72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C72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72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72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72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72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72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72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72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72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72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72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72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72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72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72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72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72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72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72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C725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C72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72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72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72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725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72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72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72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72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72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72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72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72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72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7252"/>
    <w:rPr>
      <w:i/>
    </w:rPr>
  </w:style>
  <w:style w:type="paragraph" w:styleId="Caption">
    <w:name w:val="caption"/>
    <w:basedOn w:val="BodyText"/>
    <w:next w:val="Normal"/>
    <w:qFormat/>
    <w:rsid w:val="009C72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72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72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7252"/>
  </w:style>
  <w:style w:type="paragraph" w:styleId="TableofFigures">
    <w:name w:val="table of figures"/>
    <w:basedOn w:val="Normal"/>
    <w:next w:val="Normal"/>
    <w:semiHidden/>
    <w:rsid w:val="009C72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725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C7252"/>
    <w:rPr>
      <w:rFonts w:ascii="Wingdings" w:hAnsi="Wingdings"/>
    </w:rPr>
  </w:style>
  <w:style w:type="paragraph" w:customStyle="1" w:styleId="TableHeading">
    <w:name w:val="Table Heading"/>
    <w:basedOn w:val="HeadingBase"/>
    <w:rsid w:val="009C72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7252"/>
    <w:rPr>
      <w:color w:val="0033CC"/>
      <w:u w:val="none"/>
    </w:rPr>
  </w:style>
  <w:style w:type="paragraph" w:customStyle="1" w:styleId="BodyTextRight">
    <w:name w:val="Body Text Right"/>
    <w:basedOn w:val="BodyText"/>
    <w:rsid w:val="009C72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72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725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72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72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72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7252"/>
    <w:rPr>
      <w:sz w:val="32"/>
    </w:rPr>
  </w:style>
  <w:style w:type="paragraph" w:customStyle="1" w:styleId="HeadingProcedure">
    <w:name w:val="Heading Procedure"/>
    <w:basedOn w:val="HeadingBase"/>
    <w:next w:val="Normal"/>
    <w:rsid w:val="009C72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7252"/>
    <w:pPr>
      <w:spacing w:before="60" w:after="60"/>
    </w:pPr>
  </w:style>
  <w:style w:type="paragraph" w:styleId="ListContinue">
    <w:name w:val="List Continue"/>
    <w:basedOn w:val="List"/>
    <w:rsid w:val="009C7252"/>
    <w:pPr>
      <w:ind w:firstLine="0"/>
    </w:pPr>
  </w:style>
  <w:style w:type="paragraph" w:customStyle="1" w:styleId="ListNote">
    <w:name w:val="List Note"/>
    <w:basedOn w:val="List"/>
    <w:rsid w:val="009C72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72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72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7252"/>
    <w:rPr>
      <w:rFonts w:ascii="Courier New" w:hAnsi="Courier New"/>
    </w:rPr>
  </w:style>
  <w:style w:type="paragraph" w:customStyle="1" w:styleId="NoteBullet">
    <w:name w:val="Note Bullet"/>
    <w:basedOn w:val="Note"/>
    <w:rsid w:val="009C72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72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72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72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725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C72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72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7252"/>
    <w:rPr>
      <w:b/>
      <w:smallCaps/>
    </w:rPr>
  </w:style>
  <w:style w:type="paragraph" w:customStyle="1" w:styleId="TableListNumber">
    <w:name w:val="Table List Number"/>
    <w:basedOn w:val="ListNumber"/>
    <w:rsid w:val="009C72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72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7252"/>
    <w:pPr>
      <w:numPr>
        <w:numId w:val="7"/>
      </w:numPr>
    </w:pPr>
  </w:style>
  <w:style w:type="paragraph" w:customStyle="1" w:styleId="ListAlpha2">
    <w:name w:val="List Alpha 2"/>
    <w:basedOn w:val="List2"/>
    <w:rsid w:val="009C7252"/>
    <w:pPr>
      <w:numPr>
        <w:numId w:val="6"/>
      </w:numPr>
    </w:pPr>
  </w:style>
  <w:style w:type="paragraph" w:styleId="List2">
    <w:name w:val="List 2"/>
    <w:basedOn w:val="BodyText"/>
    <w:rsid w:val="009C72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72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72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72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725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725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C7252"/>
    <w:pPr>
      <w:numPr>
        <w:numId w:val="2"/>
      </w:numPr>
    </w:pPr>
  </w:style>
  <w:style w:type="paragraph" w:styleId="ListContinue2">
    <w:name w:val="List Continue 2"/>
    <w:basedOn w:val="List2"/>
    <w:rsid w:val="009C7252"/>
    <w:pPr>
      <w:ind w:firstLine="0"/>
    </w:pPr>
  </w:style>
  <w:style w:type="paragraph" w:styleId="ListContinue3">
    <w:name w:val="List Continue 3"/>
    <w:basedOn w:val="List3"/>
    <w:rsid w:val="009C7252"/>
    <w:pPr>
      <w:ind w:left="1021" w:firstLine="0"/>
    </w:pPr>
  </w:style>
  <w:style w:type="paragraph" w:styleId="ListContinue4">
    <w:name w:val="List Continue 4"/>
    <w:basedOn w:val="List4"/>
    <w:rsid w:val="009C7252"/>
    <w:pPr>
      <w:ind w:firstLine="0"/>
    </w:pPr>
  </w:style>
  <w:style w:type="paragraph" w:styleId="ListContinue5">
    <w:name w:val="List Continue 5"/>
    <w:basedOn w:val="List5"/>
    <w:rsid w:val="009C7252"/>
    <w:pPr>
      <w:ind w:firstLine="0"/>
    </w:pPr>
  </w:style>
  <w:style w:type="paragraph" w:styleId="ListNumber3">
    <w:name w:val="List Number 3"/>
    <w:basedOn w:val="List3"/>
    <w:rsid w:val="009C7252"/>
    <w:pPr>
      <w:numPr>
        <w:numId w:val="3"/>
      </w:numPr>
    </w:pPr>
  </w:style>
  <w:style w:type="paragraph" w:styleId="ListNumber4">
    <w:name w:val="List Number 4"/>
    <w:basedOn w:val="List4"/>
    <w:rsid w:val="009C7252"/>
    <w:pPr>
      <w:numPr>
        <w:numId w:val="4"/>
      </w:numPr>
    </w:pPr>
  </w:style>
  <w:style w:type="paragraph" w:styleId="ListNumber5">
    <w:name w:val="List Number 5"/>
    <w:basedOn w:val="List5"/>
    <w:rsid w:val="009C7252"/>
    <w:pPr>
      <w:numPr>
        <w:numId w:val="5"/>
      </w:numPr>
    </w:pPr>
  </w:style>
  <w:style w:type="paragraph" w:styleId="BlockText">
    <w:name w:val="Block Text"/>
    <w:basedOn w:val="Normal"/>
    <w:rsid w:val="009C72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72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7252"/>
    <w:rPr>
      <w:sz w:val="16"/>
      <w:vertAlign w:val="superscript"/>
    </w:rPr>
  </w:style>
  <w:style w:type="character" w:customStyle="1" w:styleId="Symbols">
    <w:name w:val="Symbols"/>
    <w:basedOn w:val="DefaultParagraphFont"/>
    <w:rsid w:val="009C7252"/>
    <w:rPr>
      <w:rFonts w:ascii="Symbol" w:hAnsi="Symbol"/>
    </w:rPr>
  </w:style>
  <w:style w:type="character" w:customStyle="1" w:styleId="MenuOptions">
    <w:name w:val="Menu Options"/>
    <w:basedOn w:val="DefaultParagraphFont"/>
    <w:rsid w:val="009C72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7252"/>
    <w:rPr>
      <w:b/>
    </w:rPr>
  </w:style>
  <w:style w:type="character" w:customStyle="1" w:styleId="Underlined">
    <w:name w:val="Underlined"/>
    <w:basedOn w:val="DefaultParagraphFont"/>
    <w:rsid w:val="009C7252"/>
    <w:rPr>
      <w:u w:val="single"/>
    </w:rPr>
  </w:style>
  <w:style w:type="paragraph" w:customStyle="1" w:styleId="TableBodyTextRight">
    <w:name w:val="Table Body Text Right"/>
    <w:basedOn w:val="TableBodyText"/>
    <w:rsid w:val="009C72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7252"/>
    <w:rPr>
      <w:sz w:val="18"/>
    </w:rPr>
  </w:style>
  <w:style w:type="paragraph" w:customStyle="1" w:styleId="BodySmallRight">
    <w:name w:val="Body Small Right"/>
    <w:basedOn w:val="BodyTextRight"/>
    <w:rsid w:val="009C7252"/>
    <w:rPr>
      <w:sz w:val="18"/>
      <w:szCs w:val="18"/>
    </w:rPr>
  </w:style>
  <w:style w:type="paragraph" w:customStyle="1" w:styleId="MarginEdition">
    <w:name w:val="Margin Edition"/>
    <w:basedOn w:val="MarginNote"/>
    <w:rsid w:val="009C72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7252"/>
    <w:rPr>
      <w:sz w:val="2"/>
      <w:szCs w:val="2"/>
    </w:rPr>
  </w:style>
  <w:style w:type="character" w:customStyle="1" w:styleId="Small">
    <w:name w:val="Small"/>
    <w:basedOn w:val="DefaultParagraphFont"/>
    <w:rsid w:val="009C7252"/>
    <w:rPr>
      <w:sz w:val="16"/>
    </w:rPr>
  </w:style>
  <w:style w:type="paragraph" w:customStyle="1" w:styleId="WideTable">
    <w:name w:val="Wide Table"/>
    <w:basedOn w:val="Normal"/>
    <w:rsid w:val="009C72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7252"/>
  </w:style>
  <w:style w:type="paragraph" w:styleId="Quote">
    <w:name w:val="Quote"/>
    <w:basedOn w:val="Heading1"/>
    <w:link w:val="QuoteChar"/>
    <w:qFormat/>
    <w:rsid w:val="009C72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72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7252"/>
    <w:pPr>
      <w:pageBreakBefore/>
    </w:pPr>
  </w:style>
  <w:style w:type="paragraph" w:customStyle="1" w:styleId="Border">
    <w:name w:val="Border"/>
    <w:basedOn w:val="Normal"/>
    <w:qFormat/>
    <w:rsid w:val="009C72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72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2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2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72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72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72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72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72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7252"/>
    <w:rPr>
      <w:u w:val="single"/>
    </w:rPr>
  </w:style>
  <w:style w:type="character" w:customStyle="1" w:styleId="BoldandItalics">
    <w:name w:val="Bold and Italics"/>
    <w:qFormat/>
    <w:rsid w:val="009C7252"/>
    <w:rPr>
      <w:b/>
      <w:i/>
      <w:u w:val="none"/>
    </w:rPr>
  </w:style>
  <w:style w:type="paragraph" w:styleId="BalloonText">
    <w:name w:val="Balloon Text"/>
    <w:basedOn w:val="Normal"/>
    <w:link w:val="BalloonTextChar"/>
    <w:rsid w:val="009C72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72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72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72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72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72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7252"/>
    <w:pPr>
      <w:spacing w:before="0" w:after="0"/>
    </w:pPr>
  </w:style>
  <w:style w:type="paragraph" w:customStyle="1" w:styleId="BodyTextBold">
    <w:name w:val="Body Text Bold"/>
    <w:basedOn w:val="BodyText"/>
    <w:qFormat/>
    <w:rsid w:val="009C7252"/>
    <w:rPr>
      <w:b/>
    </w:rPr>
  </w:style>
  <w:style w:type="character" w:styleId="Hyperlink">
    <w:name w:val="Hyperlink"/>
    <w:basedOn w:val="DefaultParagraphFont"/>
    <w:uiPriority w:val="99"/>
    <w:unhideWhenUsed/>
    <w:rsid w:val="00E838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457</Words>
  <Characters>2990</Characters>
  <Application>Microsoft Office Word</Application>
  <DocSecurity>0</DocSecurity>
  <Lines>149</Lines>
  <Paragraphs>76</Paragraphs>
  <ScaleCrop>false</ScaleCrop>
  <Company>Author-it Software Corporation Ltd.</Company>
  <LinksUpToDate>false</LinksUpToDate>
  <CharactersWithSpaces>3371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TLIJ0001 Apply grain protection measures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2024-07-12T07:22:00Z</dcterms:created>
  <dcterms:modified xsi:type="dcterms:W3CDTF">2024-07-12T07:22:00Z</dcterms:modified>
</cp:coreProperties>
</file>