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338" w:rsidP="005023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TLII2015 Operate the on-train buffet car</w:t>
      </w:r>
      <w:r>
        <w:fldChar w:fldCharType="end"/>
      </w:r>
    </w:p>
    <w:p w:rsidR="00502338" w:rsidP="00502338">
      <w:pPr>
        <w:pStyle w:val="Version"/>
        <w:sectPr w:rsidSect="000F4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4AEB" w:rsidP="000F4AEB">
      <w:pPr>
        <w:pStyle w:val="SuperHeading"/>
      </w:pPr>
      <w:r w:rsidRPr="000F4AEB">
        <w:t>Assessment Requirements for TLII2015 Operate the on-train buffet car</w:t>
      </w:r>
    </w:p>
    <w:p w:rsidR="00000000" w:rsidRPr="000F4AEB" w:rsidP="000F4AEB">
      <w:pPr>
        <w:pStyle w:val="Heading1"/>
      </w:pPr>
      <w:bookmarkStart w:id="1" w:name="O_1091368"/>
      <w:bookmarkEnd w:id="1"/>
      <w:r w:rsidRPr="000F4A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AEB" w:rsidP="000F4AEB">
            <w:pPr>
              <w:pStyle w:val="BodyText"/>
            </w:pPr>
            <w:r w:rsidRPr="000F4AEB">
              <w:rPr>
                <w:rStyle w:val="SpecialBold"/>
              </w:rPr>
              <w:t>Release 2</w:t>
            </w:r>
            <w:r w:rsidRPr="000F4AEB">
              <w:t>. This is the second release of this unit of competency in the TLI Transport and Logistics Training Package:</w:t>
            </w:r>
          </w:p>
          <w:p w:rsidR="00000000" w:rsidP="000F4AEB">
            <w:pPr>
              <w:pStyle w:val="ListBullet"/>
              <w:rPr>
                <w:lang w:val="en-NZ"/>
              </w:rPr>
            </w:pPr>
            <w:r w:rsidRPr="000F4AEB">
              <w:t>Minor statement changes in Assessment Conditions.</w:t>
            </w:r>
          </w:p>
        </w:tc>
      </w:tr>
      <w:tr w:rsidTr="000F4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AEB" w:rsidP="000F4AEB">
            <w:pPr>
              <w:pStyle w:val="BodyText"/>
            </w:pPr>
            <w:r w:rsidRPr="000F4AEB">
              <w:rPr>
                <w:rStyle w:val="SpecialBold"/>
              </w:rPr>
              <w:t>Release 1</w:t>
            </w:r>
            <w:r w:rsidRPr="000F4AEB">
              <w:t>. This is the first release of this unit of competency in the TLI Transport and Logistics Training Package.</w:t>
            </w:r>
          </w:p>
        </w:tc>
      </w:tr>
    </w:tbl>
    <w:p w:rsidR="00000000" w:rsidRPr="000F4AEB" w:rsidP="000F4AEB">
      <w:pPr>
        <w:pStyle w:val="NoPaddingFontSize1"/>
      </w:pPr>
    </w:p>
    <w:p w:rsidR="00000000" w:rsidRPr="000F4AEB" w:rsidP="000F4AEB">
      <w:pPr>
        <w:pStyle w:val="AllowPageBreak"/>
      </w:pPr>
    </w:p>
    <w:p w:rsidR="00000000" w:rsidRPr="000F4AEB" w:rsidP="000F4AEB">
      <w:pPr>
        <w:pStyle w:val="Heading1"/>
      </w:pPr>
      <w:bookmarkStart w:id="2" w:name="O_1091367"/>
      <w:bookmarkEnd w:id="2"/>
      <w:r w:rsidRPr="000F4A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AEB" w:rsidP="000F4AEB">
            <w:pPr>
              <w:pStyle w:val="BodyText"/>
            </w:pPr>
            <w:r w:rsidRPr="000F4AEB">
              <w:t>Evidence required to demonstrate competence in</w:t>
            </w:r>
            <w:r w:rsidRPr="000F4AEB">
              <w:t xml:space="preserve"> this unit must be relevant to and satisfy all of the requirements of the elements and performance criteria on at least one occasion and include:</w:t>
            </w:r>
          </w:p>
          <w:p w:rsidR="00000000" w:rsidRPr="000F4AEB" w:rsidP="000F4AEB">
            <w:pPr>
              <w:pStyle w:val="ListBullet"/>
            </w:pPr>
            <w:r w:rsidRPr="000F4AEB">
              <w:t>applying relevant health and hygiene workplace procedures</w:t>
            </w:r>
          </w:p>
          <w:p w:rsidR="00000000" w:rsidRPr="000F4AEB" w:rsidP="000F4AEB">
            <w:pPr>
              <w:pStyle w:val="ListBullet"/>
            </w:pPr>
            <w:r w:rsidRPr="000F4AEB">
              <w:t>applying relevant workplace procedures when operati</w:t>
            </w:r>
            <w:r w:rsidRPr="000F4AEB">
              <w:t>ng the on-train buffet car</w:t>
            </w:r>
          </w:p>
          <w:p w:rsidR="00000000" w:rsidRPr="000F4AEB" w:rsidP="000F4AEB">
            <w:pPr>
              <w:pStyle w:val="ListBullet"/>
            </w:pPr>
            <w:r w:rsidRPr="000F4AEB">
              <w:t>communicating and negotiating effectively with others when operating an on-train buffet car</w:t>
            </w:r>
          </w:p>
          <w:p w:rsidR="00000000" w:rsidRPr="000F4AEB" w:rsidP="000F4AEB">
            <w:pPr>
              <w:pStyle w:val="ListBullet"/>
            </w:pPr>
            <w:r w:rsidRPr="000F4AEB">
              <w:t>completing documentation related to operating an on-train buffet car</w:t>
            </w:r>
          </w:p>
          <w:p w:rsidR="00000000" w:rsidRPr="000F4AEB" w:rsidP="000F4AEB">
            <w:pPr>
              <w:pStyle w:val="ListBullet"/>
            </w:pPr>
            <w:r w:rsidRPr="000F4AEB">
              <w:t>identifying job hazards and taking required action to minimise, control or eliminate identified hazards</w:t>
            </w:r>
          </w:p>
          <w:p w:rsidR="00000000" w:rsidRPr="000F4AEB" w:rsidP="000F4AEB">
            <w:pPr>
              <w:pStyle w:val="ListBullet"/>
            </w:pPr>
            <w:r w:rsidRPr="000F4AEB">
              <w:t>implementing contingency plans</w:t>
            </w:r>
          </w:p>
          <w:p w:rsidR="00000000" w:rsidRPr="000F4AEB" w:rsidP="000F4AEB">
            <w:pPr>
              <w:pStyle w:val="ListBullet"/>
            </w:pPr>
            <w:r w:rsidRPr="000F4AEB">
              <w:t>interpreting and following operational instructions and prioritising work</w:t>
            </w:r>
          </w:p>
          <w:p w:rsidR="00000000" w:rsidRPr="000F4AEB" w:rsidP="000F4AEB">
            <w:pPr>
              <w:pStyle w:val="ListBullet"/>
            </w:pPr>
            <w:r w:rsidRPr="000F4AEB">
              <w:t>maintaining and controlling stock</w:t>
            </w:r>
          </w:p>
          <w:p w:rsidR="00000000" w:rsidRPr="000F4AEB" w:rsidP="000F4AEB">
            <w:pPr>
              <w:pStyle w:val="ListBullet"/>
            </w:pPr>
            <w:r w:rsidRPr="000F4AEB">
              <w:t>modifying act</w:t>
            </w:r>
            <w:r w:rsidRPr="000F4AEB">
              <w:t>ivities depending on operational contingencies, risk situations and environments</w:t>
            </w:r>
          </w:p>
          <w:p w:rsidR="00000000" w:rsidRPr="000F4AEB" w:rsidP="000F4AEB">
            <w:pPr>
              <w:pStyle w:val="ListBullet"/>
            </w:pPr>
            <w:r w:rsidRPr="000F4AEB">
              <w:t>monitoring buffet equipment performance and taking appropriate action as required</w:t>
            </w:r>
          </w:p>
          <w:p w:rsidR="00000000" w:rsidRPr="000F4AEB" w:rsidP="000F4AEB">
            <w:pPr>
              <w:pStyle w:val="ListBullet"/>
            </w:pPr>
            <w:r w:rsidRPr="000F4AEB">
              <w:t>monitoring work activities in terms of planned schedule</w:t>
            </w:r>
          </w:p>
          <w:p w:rsidR="00000000" w:rsidRPr="000F4AEB" w:rsidP="000F4AEB">
            <w:pPr>
              <w:pStyle w:val="ListBullet"/>
            </w:pPr>
            <w:r w:rsidRPr="000F4AEB">
              <w:t>operating and adapting to differences</w:t>
            </w:r>
            <w:r w:rsidRPr="000F4AEB">
              <w:t xml:space="preserve"> in equipment in accordance with operating procedures</w:t>
            </w:r>
          </w:p>
          <w:p w:rsidR="00000000" w:rsidRPr="000F4AEB" w:rsidP="000F4AEB">
            <w:pPr>
              <w:pStyle w:val="ListBullet"/>
            </w:pPr>
            <w:r w:rsidRPr="000F4AEB">
              <w:t>reading and interpreting relevant instructions, procedures, information and labels</w:t>
            </w:r>
          </w:p>
          <w:p w:rsidR="00000000" w:rsidRPr="000F4AEB" w:rsidP="000F4AEB">
            <w:pPr>
              <w:pStyle w:val="ListBullet"/>
            </w:pPr>
            <w:r w:rsidRPr="000F4AEB">
              <w:t>reporting and/or rectifying identified problems, faults or malfunctions in accordance with workplace procedures</w:t>
            </w:r>
          </w:p>
          <w:p w:rsidR="00000000" w:rsidRPr="000F4AEB" w:rsidP="000F4AEB">
            <w:pPr>
              <w:pStyle w:val="ListBullet"/>
            </w:pPr>
            <w:r w:rsidRPr="000F4AEB">
              <w:t>selecti</w:t>
            </w:r>
            <w:r w:rsidRPr="000F4AEB">
              <w:t>ng and using relevant equipment and food stock when operating an on-train buffet car</w:t>
            </w:r>
          </w:p>
          <w:p w:rsidR="00000000" w:rsidRPr="000F4AEB" w:rsidP="000F4AEB">
            <w:pPr>
              <w:pStyle w:val="ListBullet"/>
            </w:pPr>
            <w:r w:rsidRPr="000F4AEB">
              <w:t>serving customers in accordance with health, hygiene and workplace procedures</w:t>
            </w:r>
          </w:p>
          <w:p w:rsidR="00000000" w:rsidRPr="000F4AEB" w:rsidP="000F4AEB">
            <w:pPr>
              <w:pStyle w:val="ListBullet"/>
            </w:pPr>
            <w:r w:rsidRPr="000F4AEB">
              <w:t>working collaboratively with others when operating an on-train buffet car</w:t>
            </w:r>
          </w:p>
          <w:p w:rsidR="00000000" w:rsidRPr="000F4AEB" w:rsidP="000F4AEB">
            <w:pPr>
              <w:pStyle w:val="ListBullet"/>
            </w:pPr>
            <w:r w:rsidRPr="000F4AEB">
              <w:t>working systematica</w:t>
            </w:r>
            <w:r w:rsidRPr="000F4AEB">
              <w:t>lly with required attention to detail without injury to self or others, or damage to goods or equipment.</w:t>
            </w:r>
          </w:p>
        </w:tc>
      </w:tr>
    </w:tbl>
    <w:p w:rsidR="00000000" w:rsidRPr="000F4AEB" w:rsidP="000F4AEB">
      <w:pPr>
        <w:pStyle w:val="NoPaddingFontSize1"/>
      </w:pPr>
    </w:p>
    <w:p w:rsidR="00000000" w:rsidRPr="000F4AEB" w:rsidP="000F4AEB">
      <w:pPr>
        <w:pStyle w:val="AllowPageBreak"/>
      </w:pPr>
    </w:p>
    <w:p w:rsidR="00000000" w:rsidRPr="000F4AEB" w:rsidP="000F4AEB">
      <w:pPr>
        <w:pStyle w:val="Heading1"/>
      </w:pPr>
      <w:bookmarkStart w:id="3" w:name="O_1091366"/>
      <w:bookmarkEnd w:id="3"/>
      <w:r w:rsidRPr="000F4A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AEB" w:rsidP="000F4AEB">
            <w:pPr>
              <w:pStyle w:val="BodyText"/>
            </w:pPr>
            <w:r w:rsidRPr="000F4AEB">
              <w:t xml:space="preserve">Evidence required to demonstrate competence in this unit must be relevant to and satisfy all of </w:t>
            </w:r>
            <w:r w:rsidRPr="000F4AEB">
              <w:t>the requirements of the elements and performance criteria and include knowledge of:</w:t>
            </w:r>
          </w:p>
          <w:p w:rsidR="00000000" w:rsidRPr="000F4AEB" w:rsidP="000F4AEB">
            <w:pPr>
              <w:pStyle w:val="ListBullet"/>
            </w:pPr>
            <w:r w:rsidRPr="000F4AEB">
              <w:t>applicable state/territory legislated rail safety requirements, codes of pr</w:t>
            </w:r>
            <w:r w:rsidRPr="000F4AEB">
              <w:t>actice and/or health and hygiene guidelines</w:t>
            </w:r>
          </w:p>
          <w:p w:rsidR="00000000" w:rsidRPr="000F4AEB" w:rsidP="000F4AEB">
            <w:pPr>
              <w:pStyle w:val="ListBullet"/>
            </w:pPr>
            <w:r w:rsidRPr="000F4AEB">
              <w:t>communication and negotiation requirements when operating an on-train buffet car</w:t>
            </w:r>
          </w:p>
          <w:p w:rsidR="00000000" w:rsidRPr="000F4AEB" w:rsidP="000F4AEB">
            <w:pPr>
              <w:pStyle w:val="ListBullet"/>
            </w:pPr>
            <w:r w:rsidRPr="000F4AEB">
              <w:t>documentation and record requirements</w:t>
            </w:r>
          </w:p>
          <w:p w:rsidR="00000000" w:rsidRPr="000F4AEB" w:rsidP="000F4AEB">
            <w:pPr>
              <w:pStyle w:val="ListBullet"/>
            </w:pPr>
            <w:r w:rsidRPr="000F4AEB">
              <w:t>equipment, and materials used when operating an on-train buffet car, and health/hygiene preca</w:t>
            </w:r>
            <w:r w:rsidRPr="000F4AEB">
              <w:t>utions and procedures that should be followed in their use</w:t>
            </w:r>
          </w:p>
          <w:p w:rsidR="00000000" w:rsidRPr="000F4AEB" w:rsidP="000F4AEB">
            <w:pPr>
              <w:pStyle w:val="ListBullet"/>
            </w:pPr>
            <w:r w:rsidRPr="000F4AEB">
              <w:t>problems that may occur when operating an on-train buffet car and appropriate action that can be taken to resolve these problems</w:t>
            </w:r>
          </w:p>
          <w:p w:rsidR="00000000" w:rsidRPr="000F4AEB" w:rsidP="000F4AEB">
            <w:pPr>
              <w:pStyle w:val="ListBullet"/>
            </w:pPr>
            <w:r w:rsidRPr="000F4AEB">
              <w:t>relevant work health and safety (WHS)/occupational health and safety</w:t>
            </w:r>
            <w:r w:rsidRPr="000F4AEB">
              <w:t xml:space="preserve"> (OHS) and environmental protection procedures and guidelines</w:t>
            </w:r>
          </w:p>
          <w:p w:rsidR="00000000" w:rsidRPr="000F4AEB" w:rsidP="000F4AEB">
            <w:pPr>
              <w:pStyle w:val="ListBullet"/>
            </w:pPr>
            <w:r w:rsidRPr="000F4AEB">
              <w:t>relevant products, pricing structures, consumer laws and trade practice requirements</w:t>
            </w:r>
          </w:p>
          <w:p w:rsidR="00000000" w:rsidRPr="000F4AEB" w:rsidP="000F4AEB">
            <w:pPr>
              <w:pStyle w:val="ListBullet"/>
            </w:pPr>
            <w:r w:rsidRPr="000F4AEB">
              <w:t>workplace health and hygiene procedures and standards for operating an on-train buffet car.</w:t>
            </w:r>
          </w:p>
        </w:tc>
      </w:tr>
    </w:tbl>
    <w:p w:rsidR="00000000" w:rsidRPr="000F4AEB" w:rsidP="000F4AEB">
      <w:pPr>
        <w:pStyle w:val="NoPaddingFontSize1"/>
      </w:pPr>
    </w:p>
    <w:p w:rsidR="00000000" w:rsidRPr="000F4AEB" w:rsidP="000F4AEB">
      <w:pPr>
        <w:pStyle w:val="AllowPageBreak"/>
      </w:pPr>
    </w:p>
    <w:p w:rsidR="00000000" w:rsidRPr="000F4AEB" w:rsidP="000F4AEB">
      <w:pPr>
        <w:pStyle w:val="Heading1"/>
      </w:pPr>
      <w:bookmarkStart w:id="4" w:name="O_1091365"/>
      <w:bookmarkEnd w:id="4"/>
      <w:r w:rsidRPr="000F4A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A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AEB" w:rsidP="000F4AEB">
            <w:pPr>
              <w:pStyle w:val="BodyText"/>
            </w:pPr>
            <w:r w:rsidRPr="000F4AEB">
              <w:t xml:space="preserve">Assessors must hold credentials specified within the Standards for Registered Training Organisations current at the time of assessment. </w:t>
            </w:r>
          </w:p>
          <w:p w:rsidR="00000000" w:rsidRPr="000F4AEB" w:rsidP="000F4AEB">
            <w:pPr>
              <w:pStyle w:val="BodyText"/>
            </w:pPr>
            <w:r w:rsidRPr="000F4AE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F4AEB" w:rsidP="000F4AEB">
            <w:pPr>
              <w:pStyle w:val="BodyText"/>
            </w:pPr>
            <w:r w:rsidRPr="000F4AEB">
              <w:t>Assessment must occur in workplace operational</w:t>
            </w:r>
            <w:r w:rsidRPr="000F4AEB">
              <w:t xml:space="preserve"> situations or, where this is not available, in simulated workplace operational situations that replicate rail workplace conditions.</w:t>
            </w:r>
          </w:p>
          <w:p w:rsidR="00000000" w:rsidRPr="000F4AEB" w:rsidP="000F4AEB">
            <w:pPr>
              <w:pStyle w:val="BodyText"/>
            </w:pPr>
            <w:r w:rsidRPr="000F4AEB">
              <w:t>Assessment processes and techniques must be appropriate to the language, literacy and numeracy requirements of the work bei</w:t>
            </w:r>
            <w:r w:rsidRPr="000F4AEB">
              <w:t>ng performed and the needs of the candidate.</w:t>
            </w:r>
          </w:p>
          <w:p w:rsidR="00000000" w:rsidRPr="000F4AEB" w:rsidP="000F4AEB">
            <w:pPr>
              <w:pStyle w:val="BodyText"/>
            </w:pPr>
            <w:r w:rsidRPr="000F4AEB">
              <w:t>Resources for assessment must include:</w:t>
            </w:r>
          </w:p>
          <w:p w:rsidR="00000000" w:rsidRPr="000F4AEB" w:rsidP="000F4AEB">
            <w:pPr>
              <w:pStyle w:val="ListBullet"/>
            </w:pPr>
            <w:r w:rsidRPr="000F4AEB">
              <w:t>a range of relevant exercises, case studies and/or simulations</w:t>
            </w:r>
          </w:p>
          <w:p w:rsidR="00000000" w:rsidRPr="000F4AEB" w:rsidP="000F4AEB">
            <w:pPr>
              <w:pStyle w:val="ListBullet"/>
            </w:pPr>
            <w:r w:rsidRPr="000F4AEB">
              <w:t xml:space="preserve">relevant and appropriate materials, tools, equipment and personal protective equipment (PPE) currently used </w:t>
            </w:r>
            <w:r w:rsidRPr="000F4AEB">
              <w:t>in industry</w:t>
            </w:r>
          </w:p>
          <w:p w:rsidR="00000000" w:rsidRPr="000F4AEB" w:rsidP="000F4AEB">
            <w:pPr>
              <w:pStyle w:val="ListBullet"/>
            </w:pPr>
            <w:r w:rsidRPr="000F4AEB">
              <w:t>applicable documentation, including workplace procedures, regulations, codes of practice, operation manuals, health and hygiene standards.</w:t>
            </w:r>
          </w:p>
        </w:tc>
      </w:tr>
    </w:tbl>
    <w:p w:rsidR="00000000" w:rsidRPr="000F4AEB" w:rsidP="000F4AEB">
      <w:pPr>
        <w:pStyle w:val="NoPaddingFontSize1"/>
      </w:pPr>
    </w:p>
    <w:p w:rsidR="00000000" w:rsidRPr="000F4AEB" w:rsidP="000F4AEB">
      <w:pPr>
        <w:pStyle w:val="AllowPageBreak"/>
      </w:pPr>
    </w:p>
    <w:p w:rsidR="00000000" w:rsidRPr="000F4AEB" w:rsidP="000F4AEB">
      <w:pPr>
        <w:pStyle w:val="Heading1"/>
      </w:pPr>
      <w:bookmarkStart w:id="5" w:name="O_1091380"/>
      <w:bookmarkEnd w:id="5"/>
      <w:r w:rsidRPr="000F4AEB">
        <w:t>Links</w:t>
      </w:r>
    </w:p>
    <w:p w:rsidR="00000000" w:rsidRPr="000F4AEB" w:rsidP="00502338">
      <w:pPr>
        <w:pStyle w:val="BodyText"/>
      </w:pPr>
      <w:r w:rsidRPr="000F4A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3E2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F4AEB" w:rsidP="000F4AEB"/>
    <w:sectPr w:rsidSect="000F4A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EB" w:rsidRPr="00502338" w:rsidP="005023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38" w:rsidP="000F4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338" w:rsidP="000F4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02338" w:rsidP="000F4A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AEB" w:rsidRPr="00502338" w:rsidP="005023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38" w:rsidRPr="002D2AF8" w:rsidP="000F4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TLII2015 Operate the on-train buffet car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02338" w:rsidP="000F4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C2C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8E7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AEB"/>
  </w:style>
  <w:style w:type="character" w:customStyle="1" w:styleId="Heading1Char">
    <w:name w:val="Heading 1 Char"/>
    <w:basedOn w:val="DefaultParagraphFont"/>
    <w:link w:val="Heading1"/>
    <w:rsid w:val="000F4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A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A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A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AEB"/>
    <w:rPr>
      <w:b/>
      <w:spacing w:val="0"/>
    </w:rPr>
  </w:style>
  <w:style w:type="paragraph" w:customStyle="1" w:styleId="SuperHeading">
    <w:name w:val="SuperHeading"/>
    <w:basedOn w:val="Normal"/>
    <w:rsid w:val="000F4A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4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A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A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A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A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A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AEB"/>
    <w:rPr>
      <w:i/>
    </w:rPr>
  </w:style>
  <w:style w:type="paragraph" w:styleId="Caption">
    <w:name w:val="caption"/>
    <w:basedOn w:val="BodyText"/>
    <w:next w:val="Normal"/>
    <w:qFormat/>
    <w:rsid w:val="000F4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AEB"/>
  </w:style>
  <w:style w:type="paragraph" w:styleId="TableofFigures">
    <w:name w:val="table of figures"/>
    <w:basedOn w:val="Normal"/>
    <w:next w:val="Normal"/>
    <w:semiHidden/>
    <w:rsid w:val="000F4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A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4AEB"/>
    <w:rPr>
      <w:rFonts w:ascii="Wingdings" w:hAnsi="Wingdings"/>
    </w:rPr>
  </w:style>
  <w:style w:type="paragraph" w:customStyle="1" w:styleId="TableHeading">
    <w:name w:val="Table Heading"/>
    <w:basedOn w:val="HeadingBase"/>
    <w:rsid w:val="000F4A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AEB"/>
    <w:rPr>
      <w:color w:val="0033CC"/>
      <w:u w:val="none"/>
    </w:rPr>
  </w:style>
  <w:style w:type="paragraph" w:customStyle="1" w:styleId="BodyTextRight">
    <w:name w:val="Body Text Right"/>
    <w:basedOn w:val="BodyText"/>
    <w:rsid w:val="000F4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A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AEB"/>
    <w:rPr>
      <w:sz w:val="32"/>
    </w:rPr>
  </w:style>
  <w:style w:type="paragraph" w:customStyle="1" w:styleId="HeadingProcedure">
    <w:name w:val="Heading Procedure"/>
    <w:basedOn w:val="HeadingBase"/>
    <w:next w:val="Normal"/>
    <w:rsid w:val="000F4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AEB"/>
    <w:pPr>
      <w:spacing w:before="60" w:after="60"/>
    </w:pPr>
  </w:style>
  <w:style w:type="paragraph" w:styleId="ListContinue">
    <w:name w:val="List Continue"/>
    <w:basedOn w:val="List"/>
    <w:rsid w:val="000F4AEB"/>
    <w:pPr>
      <w:ind w:firstLine="0"/>
    </w:pPr>
  </w:style>
  <w:style w:type="paragraph" w:customStyle="1" w:styleId="ListNote">
    <w:name w:val="List Note"/>
    <w:basedOn w:val="List"/>
    <w:rsid w:val="000F4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AEB"/>
    <w:rPr>
      <w:rFonts w:ascii="Courier New" w:hAnsi="Courier New"/>
    </w:rPr>
  </w:style>
  <w:style w:type="paragraph" w:customStyle="1" w:styleId="NoteBullet">
    <w:name w:val="Note Bullet"/>
    <w:basedOn w:val="Note"/>
    <w:rsid w:val="000F4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A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AEB"/>
    <w:rPr>
      <w:b/>
      <w:smallCaps/>
    </w:rPr>
  </w:style>
  <w:style w:type="paragraph" w:customStyle="1" w:styleId="TableListNumber">
    <w:name w:val="Table List Number"/>
    <w:basedOn w:val="ListNumber"/>
    <w:rsid w:val="000F4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AEB"/>
    <w:pPr>
      <w:numPr>
        <w:numId w:val="8"/>
      </w:numPr>
    </w:pPr>
  </w:style>
  <w:style w:type="paragraph" w:customStyle="1" w:styleId="ListAlpha2">
    <w:name w:val="List Alpha 2"/>
    <w:basedOn w:val="List2"/>
    <w:rsid w:val="000F4AEB"/>
    <w:pPr>
      <w:numPr>
        <w:numId w:val="7"/>
      </w:numPr>
    </w:pPr>
  </w:style>
  <w:style w:type="paragraph" w:styleId="List2">
    <w:name w:val="List 2"/>
    <w:basedOn w:val="BodyText"/>
    <w:rsid w:val="000F4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A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A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A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4AEB"/>
    <w:pPr>
      <w:numPr>
        <w:numId w:val="3"/>
      </w:numPr>
    </w:pPr>
  </w:style>
  <w:style w:type="paragraph" w:styleId="ListContinue2">
    <w:name w:val="List Continue 2"/>
    <w:basedOn w:val="List2"/>
    <w:rsid w:val="000F4AEB"/>
    <w:pPr>
      <w:ind w:firstLine="0"/>
    </w:pPr>
  </w:style>
  <w:style w:type="paragraph" w:styleId="ListContinue3">
    <w:name w:val="List Continue 3"/>
    <w:basedOn w:val="List3"/>
    <w:rsid w:val="000F4AEB"/>
    <w:pPr>
      <w:ind w:left="1021" w:firstLine="0"/>
    </w:pPr>
  </w:style>
  <w:style w:type="paragraph" w:styleId="ListContinue4">
    <w:name w:val="List Continue 4"/>
    <w:basedOn w:val="List4"/>
    <w:rsid w:val="000F4AEB"/>
    <w:pPr>
      <w:ind w:firstLine="0"/>
    </w:pPr>
  </w:style>
  <w:style w:type="paragraph" w:styleId="ListContinue5">
    <w:name w:val="List Continue 5"/>
    <w:basedOn w:val="List5"/>
    <w:rsid w:val="000F4AEB"/>
    <w:pPr>
      <w:ind w:firstLine="0"/>
    </w:pPr>
  </w:style>
  <w:style w:type="paragraph" w:styleId="ListNumber3">
    <w:name w:val="List Number 3"/>
    <w:basedOn w:val="List3"/>
    <w:rsid w:val="000F4AEB"/>
    <w:pPr>
      <w:numPr>
        <w:numId w:val="4"/>
      </w:numPr>
    </w:pPr>
  </w:style>
  <w:style w:type="paragraph" w:styleId="ListNumber4">
    <w:name w:val="List Number 4"/>
    <w:basedOn w:val="List4"/>
    <w:rsid w:val="000F4AEB"/>
    <w:pPr>
      <w:numPr>
        <w:numId w:val="5"/>
      </w:numPr>
    </w:pPr>
  </w:style>
  <w:style w:type="paragraph" w:styleId="ListNumber5">
    <w:name w:val="List Number 5"/>
    <w:basedOn w:val="List5"/>
    <w:rsid w:val="000F4AEB"/>
    <w:pPr>
      <w:numPr>
        <w:numId w:val="6"/>
      </w:numPr>
    </w:pPr>
  </w:style>
  <w:style w:type="paragraph" w:styleId="BlockText">
    <w:name w:val="Block Text"/>
    <w:basedOn w:val="Normal"/>
    <w:rsid w:val="000F4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AEB"/>
    <w:rPr>
      <w:sz w:val="16"/>
      <w:vertAlign w:val="superscript"/>
    </w:rPr>
  </w:style>
  <w:style w:type="character" w:customStyle="1" w:styleId="Symbols">
    <w:name w:val="Symbols"/>
    <w:basedOn w:val="DefaultParagraphFont"/>
    <w:rsid w:val="000F4AEB"/>
    <w:rPr>
      <w:rFonts w:ascii="Symbol" w:hAnsi="Symbol"/>
    </w:rPr>
  </w:style>
  <w:style w:type="character" w:customStyle="1" w:styleId="MenuOptions">
    <w:name w:val="Menu Options"/>
    <w:basedOn w:val="DefaultParagraphFont"/>
    <w:rsid w:val="000F4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AEB"/>
    <w:rPr>
      <w:b/>
    </w:rPr>
  </w:style>
  <w:style w:type="character" w:customStyle="1" w:styleId="Underlined">
    <w:name w:val="Underlined"/>
    <w:basedOn w:val="DefaultParagraphFont"/>
    <w:rsid w:val="000F4AEB"/>
    <w:rPr>
      <w:u w:val="single"/>
    </w:rPr>
  </w:style>
  <w:style w:type="paragraph" w:customStyle="1" w:styleId="TableBodyTextRight">
    <w:name w:val="Table Body Text Right"/>
    <w:basedOn w:val="TableBodyText"/>
    <w:rsid w:val="000F4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AEB"/>
    <w:rPr>
      <w:sz w:val="18"/>
    </w:rPr>
  </w:style>
  <w:style w:type="paragraph" w:customStyle="1" w:styleId="BodySmallRight">
    <w:name w:val="Body Small Right"/>
    <w:basedOn w:val="BodyTextRight"/>
    <w:rsid w:val="000F4AEB"/>
    <w:rPr>
      <w:sz w:val="18"/>
      <w:szCs w:val="18"/>
    </w:rPr>
  </w:style>
  <w:style w:type="paragraph" w:customStyle="1" w:styleId="MarginEdition">
    <w:name w:val="Margin Edition"/>
    <w:basedOn w:val="MarginNote"/>
    <w:rsid w:val="000F4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AEB"/>
    <w:rPr>
      <w:sz w:val="2"/>
      <w:szCs w:val="2"/>
    </w:rPr>
  </w:style>
  <w:style w:type="character" w:customStyle="1" w:styleId="Small">
    <w:name w:val="Small"/>
    <w:basedOn w:val="DefaultParagraphFont"/>
    <w:rsid w:val="000F4AEB"/>
    <w:rPr>
      <w:sz w:val="16"/>
    </w:rPr>
  </w:style>
  <w:style w:type="paragraph" w:customStyle="1" w:styleId="WideTable">
    <w:name w:val="Wide Table"/>
    <w:basedOn w:val="Normal"/>
    <w:rsid w:val="000F4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AEB"/>
  </w:style>
  <w:style w:type="paragraph" w:styleId="Quote">
    <w:name w:val="Quote"/>
    <w:basedOn w:val="Heading1"/>
    <w:link w:val="QuoteChar"/>
    <w:qFormat/>
    <w:rsid w:val="000F4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AEB"/>
    <w:pPr>
      <w:pageBreakBefore/>
    </w:pPr>
  </w:style>
  <w:style w:type="paragraph" w:customStyle="1" w:styleId="Border">
    <w:name w:val="Border"/>
    <w:basedOn w:val="Normal"/>
    <w:qFormat/>
    <w:rsid w:val="000F4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AEB"/>
    <w:rPr>
      <w:u w:val="single"/>
    </w:rPr>
  </w:style>
  <w:style w:type="character" w:customStyle="1" w:styleId="BoldandItalics">
    <w:name w:val="Bold and Italics"/>
    <w:qFormat/>
    <w:rsid w:val="000F4AEB"/>
    <w:rPr>
      <w:b/>
      <w:i/>
      <w:u w:val="none"/>
    </w:rPr>
  </w:style>
  <w:style w:type="paragraph" w:styleId="BalloonText">
    <w:name w:val="Balloon Text"/>
    <w:basedOn w:val="Normal"/>
    <w:link w:val="BalloonTextChar"/>
    <w:rsid w:val="000F4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A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A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A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AEB"/>
    <w:pPr>
      <w:spacing w:before="0" w:after="0"/>
    </w:pPr>
  </w:style>
  <w:style w:type="paragraph" w:customStyle="1" w:styleId="BodyTextBold">
    <w:name w:val="Body Text Bold"/>
    <w:basedOn w:val="BodyText"/>
    <w:qFormat/>
    <w:rsid w:val="000F4AEB"/>
    <w:rPr>
      <w:b/>
    </w:rPr>
  </w:style>
  <w:style w:type="character" w:styleId="Hyperlink">
    <w:name w:val="Hyperlink"/>
    <w:basedOn w:val="DefaultParagraphFont"/>
    <w:uiPriority w:val="99"/>
    <w:unhideWhenUsed/>
    <w:rsid w:val="005023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3937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TLII2015 Operate the on-train buffet car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