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5051" w:rsidP="00C150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TLII0001 Market international freight forwarding services</w:t>
      </w:r>
      <w:r>
        <w:fldChar w:fldCharType="end"/>
      </w:r>
    </w:p>
    <w:p w:rsidR="00C15051" w:rsidP="00C15051">
      <w:pPr>
        <w:pStyle w:val="Version"/>
        <w:sectPr w:rsidSect="007F0E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F0E70" w:rsidP="007F0E70">
      <w:pPr>
        <w:pStyle w:val="SuperHeading"/>
      </w:pPr>
      <w:r w:rsidRPr="007F0E70">
        <w:t>Assessment Requirements for TLII0001 Market international freight forwarding services</w:t>
      </w:r>
    </w:p>
    <w:p w:rsidR="00000000" w:rsidRPr="007F0E70" w:rsidP="007F0E70">
      <w:pPr>
        <w:pStyle w:val="Heading1"/>
      </w:pPr>
      <w:bookmarkStart w:id="1" w:name="O_1232512"/>
      <w:bookmarkEnd w:id="1"/>
      <w:r w:rsidRPr="007F0E7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E70" w:rsidP="007F0E70">
            <w:pPr>
              <w:pStyle w:val="BodyText"/>
            </w:pPr>
            <w:r w:rsidRPr="007F0E70">
              <w:rPr>
                <w:rStyle w:val="SpecialBold"/>
              </w:rPr>
              <w:t>Release 2</w:t>
            </w:r>
            <w:r w:rsidRPr="007F0E70">
              <w:t>. This is the second release of this unit of competency in the TLI Transport and Logistics Training Package.</w:t>
            </w:r>
          </w:p>
          <w:p w:rsidR="00000000" w:rsidRPr="007F0E70" w:rsidP="007F0E70">
            <w:pPr>
              <w:pStyle w:val="ListBullet"/>
            </w:pPr>
            <w:r w:rsidRPr="007F0E70">
              <w:t>Minor statement changes in Performance Criteria</w:t>
            </w:r>
          </w:p>
          <w:p w:rsidR="00000000" w:rsidRPr="007F0E70" w:rsidP="007F0E70">
            <w:pPr>
              <w:pStyle w:val="ListBullet"/>
            </w:pPr>
            <w:r w:rsidRPr="007F0E70">
              <w:t>Minor statement changes in Performance Evidence</w:t>
            </w:r>
          </w:p>
          <w:p w:rsidR="00000000" w:rsidRPr="007F0E70" w:rsidP="007F0E70">
            <w:pPr>
              <w:pStyle w:val="ListBullet"/>
            </w:pPr>
            <w:r w:rsidRPr="007F0E70">
              <w:t>Minor statement changes in Knowledge Evidence</w:t>
            </w:r>
          </w:p>
          <w:p w:rsidR="00000000" w:rsidP="007F0E70">
            <w:pPr>
              <w:pStyle w:val="ListBullet"/>
              <w:rPr>
                <w:lang w:val="en-NZ"/>
              </w:rPr>
            </w:pPr>
            <w:r w:rsidRPr="007F0E70">
              <w:t>Minor statement changes in Assessment Conditions.</w:t>
            </w:r>
          </w:p>
        </w:tc>
      </w:tr>
      <w:tr w:rsidTr="007F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E70" w:rsidP="007F0E70">
            <w:pPr>
              <w:pStyle w:val="BodyText"/>
            </w:pPr>
            <w:r w:rsidRPr="007F0E70">
              <w:rPr>
                <w:rStyle w:val="SpecialBold"/>
              </w:rPr>
              <w:t>Release 1</w:t>
            </w:r>
            <w:r w:rsidRPr="007F0E70">
              <w:t>. This is the first release of this unit of competency</w:t>
            </w:r>
            <w:r w:rsidRPr="007F0E70">
              <w:t xml:space="preserve"> in the TLI Transport and Logistics Training Package.</w:t>
            </w:r>
          </w:p>
        </w:tc>
      </w:tr>
    </w:tbl>
    <w:p w:rsidR="00C15051" w:rsidP="007F0E70">
      <w:pPr>
        <w:pStyle w:val="NoPaddingFontSize1"/>
      </w:pPr>
    </w:p>
    <w:p w:rsidR="00C15051" w:rsidP="007F0E70">
      <w:pPr>
        <w:pStyle w:val="NoPaddingFontSize1"/>
      </w:pPr>
    </w:p>
    <w:p w:rsidR="00000000" w:rsidRPr="007F0E70" w:rsidP="007F0E70">
      <w:pPr>
        <w:pStyle w:val="Heading1"/>
      </w:pPr>
      <w:bookmarkStart w:id="2" w:name="O_1232511"/>
      <w:bookmarkEnd w:id="2"/>
      <w:r w:rsidRPr="007F0E7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E70">
            <w:pPr>
              <w:pStyle w:val="BodyText"/>
              <w:rPr>
                <w:lang w:val="en-NZ"/>
              </w:rPr>
            </w:pPr>
            <w:r w:rsidRPr="007F0E70">
              <w:t xml:space="preserve">Evidence required to demonstrate competence in this unit must be relevant to and satisfy all of the requirements of the elements and performance </w:t>
            </w:r>
            <w:r w:rsidRPr="007F0E70">
              <w:t>criteria on at least one occasion and include:</w:t>
            </w:r>
          </w:p>
        </w:tc>
      </w:tr>
      <w:tr w:rsidTr="007F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E70" w:rsidP="007F0E70">
            <w:pPr>
              <w:pStyle w:val="ListBullet"/>
            </w:pPr>
            <w:r w:rsidRPr="007F0E70">
              <w:t>communicating effectively and working collaboratively with others when marketing services to customers</w:t>
            </w:r>
          </w:p>
          <w:p w:rsidR="00000000" w:rsidRPr="007F0E70" w:rsidP="007F0E70">
            <w:pPr>
              <w:pStyle w:val="ListBullet"/>
            </w:pPr>
            <w:r w:rsidRPr="007F0E70">
              <w:t>completing relevant documentation</w:t>
            </w:r>
          </w:p>
          <w:p w:rsidR="00000000" w:rsidRPr="007F0E70" w:rsidP="007F0E70">
            <w:pPr>
              <w:pStyle w:val="ListBullet"/>
            </w:pPr>
            <w:r w:rsidRPr="007F0E70">
              <w:t>identifying and recording potential improvements to services</w:t>
            </w:r>
          </w:p>
          <w:p w:rsidR="00000000" w:rsidRPr="007F0E70" w:rsidP="007F0E70">
            <w:pPr>
              <w:pStyle w:val="ListBullet"/>
            </w:pPr>
            <w:r w:rsidRPr="007F0E70">
              <w:t>negotiati</w:t>
            </w:r>
            <w:r w:rsidRPr="007F0E70">
              <w:t xml:space="preserve">ng effectively with customers and others </w:t>
            </w:r>
          </w:p>
          <w:p w:rsidR="00000000" w:rsidRPr="007F0E70" w:rsidP="007F0E70">
            <w:pPr>
              <w:pStyle w:val="ListBullet"/>
            </w:pPr>
            <w:r w:rsidRPr="007F0E70">
              <w:t xml:space="preserve">promptly reporting and/or rectifying identified problems </w:t>
            </w:r>
          </w:p>
          <w:p w:rsidR="00000000" w:rsidRPr="007F0E70" w:rsidP="007F0E70">
            <w:pPr>
              <w:pStyle w:val="ListBullet"/>
            </w:pPr>
            <w:r w:rsidRPr="007F0E70">
              <w:t>responding appropriately to cultural differences in the workplace.</w:t>
            </w:r>
          </w:p>
        </w:tc>
      </w:tr>
    </w:tbl>
    <w:p w:rsidR="00000000" w:rsidRPr="007F0E70" w:rsidP="007F0E70">
      <w:pPr>
        <w:pStyle w:val="NoPaddingFontSize1"/>
      </w:pPr>
    </w:p>
    <w:p w:rsidR="00000000" w:rsidRPr="007F0E70" w:rsidP="007F0E70">
      <w:pPr>
        <w:pStyle w:val="AllowPageBreak"/>
      </w:pPr>
    </w:p>
    <w:p w:rsidR="00000000" w:rsidRPr="007F0E70" w:rsidP="007F0E70">
      <w:pPr>
        <w:pStyle w:val="Heading1"/>
      </w:pPr>
      <w:bookmarkStart w:id="3" w:name="O_1232510"/>
      <w:bookmarkEnd w:id="3"/>
      <w:r w:rsidRPr="007F0E7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E70">
            <w:pPr>
              <w:pStyle w:val="BodyText"/>
              <w:rPr>
                <w:lang w:val="en-NZ"/>
              </w:rPr>
            </w:pPr>
            <w:r w:rsidRPr="007F0E70">
              <w:t>Evidence required to demonstrate competence in th</w:t>
            </w:r>
            <w:r w:rsidRPr="007F0E70">
              <w:t>is unit must be relevant to and satisfy all of the requirements of the elements and performance criteria and include knowledge of:</w:t>
            </w:r>
          </w:p>
        </w:tc>
      </w:tr>
      <w:tr w:rsidTr="007F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E70" w:rsidP="007F0E70">
            <w:pPr>
              <w:pStyle w:val="ListBullet"/>
            </w:pPr>
            <w:r w:rsidRPr="007F0E70">
              <w:t>functions of relevant workplace departments and personnel</w:t>
            </w:r>
          </w:p>
          <w:p w:rsidR="00000000" w:rsidRPr="007F0E70" w:rsidP="007F0E70">
            <w:pPr>
              <w:pStyle w:val="ListBullet"/>
            </w:pPr>
            <w:r w:rsidRPr="007F0E70">
              <w:t>marketing systems, operations and resources</w:t>
            </w:r>
          </w:p>
          <w:p w:rsidR="00000000" w:rsidRPr="007F0E70" w:rsidP="007F0E70">
            <w:pPr>
              <w:pStyle w:val="ListBullet"/>
            </w:pPr>
            <w:r w:rsidRPr="007F0E70">
              <w:t>relevant regulatory requirements</w:t>
            </w:r>
          </w:p>
          <w:p w:rsidR="00000000" w:rsidRPr="007F0E70" w:rsidP="007F0E70">
            <w:pPr>
              <w:pStyle w:val="ListBullet"/>
            </w:pPr>
            <w:r w:rsidRPr="007F0E70">
              <w:t>strategies to implement continuous improvement processes</w:t>
            </w:r>
          </w:p>
          <w:p w:rsidR="00000000" w:rsidRPr="007F0E70" w:rsidP="007F0E70">
            <w:pPr>
              <w:pStyle w:val="ListBullet"/>
            </w:pPr>
            <w:r w:rsidRPr="007F0E70">
              <w:t>types of problems that can occur and appropriate actions that can be taken</w:t>
            </w:r>
          </w:p>
          <w:p w:rsidR="00000000" w:rsidRPr="007F0E70" w:rsidP="007F0E70">
            <w:pPr>
              <w:pStyle w:val="ListBullet"/>
            </w:pPr>
            <w:r w:rsidRPr="007F0E70">
              <w:t>workplace protocols and procedures for marketing services to customers.</w:t>
            </w:r>
          </w:p>
        </w:tc>
      </w:tr>
    </w:tbl>
    <w:p w:rsidR="00C15051" w:rsidP="007F0E70">
      <w:pPr>
        <w:pStyle w:val="NoPaddingFontSize1"/>
      </w:pPr>
    </w:p>
    <w:p w:rsidR="00C15051" w:rsidP="007F0E70">
      <w:pPr>
        <w:pStyle w:val="NoPaddingFontSize1"/>
      </w:pPr>
    </w:p>
    <w:p w:rsidR="00000000" w:rsidRPr="007F0E70" w:rsidP="007F0E70">
      <w:pPr>
        <w:pStyle w:val="Heading1"/>
      </w:pPr>
      <w:bookmarkStart w:id="4" w:name="O_1232509"/>
      <w:bookmarkEnd w:id="4"/>
      <w:r w:rsidRPr="007F0E7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E70" w:rsidP="007F0E70">
            <w:pPr>
              <w:pStyle w:val="BodyText"/>
            </w:pPr>
            <w:r w:rsidRPr="007F0E70">
              <w:t xml:space="preserve">Assessors must hold credentials specified within the Standards for Registered Training </w:t>
            </w:r>
            <w:r w:rsidRPr="007F0E70">
              <w:t xml:space="preserve">Organisations current at the time of assessment. </w:t>
            </w:r>
          </w:p>
          <w:p w:rsidR="00000000" w:rsidRPr="007F0E70" w:rsidP="007F0E70">
            <w:pPr>
              <w:pStyle w:val="BodyText"/>
            </w:pPr>
            <w:r w:rsidRPr="007F0E70">
              <w:t>Assessment must satisfy the Principles of Assessment and Rules of Evidence and all regulatory</w:t>
            </w:r>
            <w:r w:rsidRPr="007F0E70">
              <w:t xml:space="preserve"> requirements included within the Standards for Registered Training Organisations current at the time of assessment.</w:t>
            </w:r>
          </w:p>
          <w:p w:rsidR="00000000" w:rsidRPr="007F0E70" w:rsidP="007F0E70">
            <w:pPr>
              <w:pStyle w:val="BodyText"/>
            </w:pPr>
            <w:r w:rsidRPr="007F0E70">
              <w:t xml:space="preserve">Assessment must occur in workplace operational situations where it is appropriate to do so; where this is not appropriate, assessment must </w:t>
            </w:r>
            <w:r w:rsidRPr="007F0E70">
              <w:t>occur in simulated workplace operational situations that replicate workplace conditions.</w:t>
            </w:r>
          </w:p>
          <w:p w:rsidR="00000000" w:rsidRPr="007F0E70" w:rsidP="007F0E70">
            <w:pPr>
              <w:pStyle w:val="BodyText"/>
            </w:pPr>
            <w:r w:rsidRPr="007F0E7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F0E70" w:rsidP="007F0E70">
            <w:pPr>
              <w:pStyle w:val="BodyText"/>
            </w:pPr>
            <w:r w:rsidRPr="007F0E70">
              <w:t>Resources for assessment must include access to:</w:t>
            </w:r>
          </w:p>
          <w:p w:rsidR="00000000" w:rsidRPr="007F0E70" w:rsidP="007F0E70">
            <w:pPr>
              <w:pStyle w:val="ListBullet"/>
            </w:pPr>
            <w:r w:rsidRPr="007F0E70">
              <w:t>a range of relevant exercises, case studies and/or simulations</w:t>
            </w:r>
          </w:p>
          <w:p w:rsidR="00000000" w:rsidRPr="007F0E70" w:rsidP="007F0E70">
            <w:pPr>
              <w:pStyle w:val="ListBullet"/>
            </w:pPr>
            <w:r w:rsidRPr="007F0E70">
              <w:t>applicable documentation including workplace procedures, regulations, codes of practice and operation manuals.</w:t>
            </w:r>
          </w:p>
        </w:tc>
      </w:tr>
    </w:tbl>
    <w:p w:rsidR="00C15051" w:rsidP="007F0E70">
      <w:pPr>
        <w:pStyle w:val="NoPaddingFontSize1"/>
      </w:pPr>
    </w:p>
    <w:p w:rsidR="00C15051" w:rsidP="007F0E70">
      <w:pPr>
        <w:pStyle w:val="NoPaddingFontSize1"/>
      </w:pPr>
    </w:p>
    <w:p w:rsidR="00000000" w:rsidRPr="007F0E70" w:rsidP="007F0E70">
      <w:pPr>
        <w:pStyle w:val="Heading1"/>
      </w:pPr>
      <w:bookmarkStart w:id="5" w:name="O_1232524"/>
      <w:bookmarkEnd w:id="5"/>
      <w:r w:rsidRPr="007F0E70">
        <w:t>Links</w:t>
      </w:r>
    </w:p>
    <w:p w:rsidR="00000000" w:rsidRPr="007F0E70" w:rsidP="00C15051">
      <w:pPr>
        <w:pStyle w:val="BodyText"/>
      </w:pPr>
      <w:r w:rsidRPr="007F0E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62F4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F0E70" w:rsidP="007F0E70"/>
    <w:sectPr w:rsidSect="007F0E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E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E70" w:rsidRPr="00C15051" w:rsidP="00C150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E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051" w:rsidP="007F0E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5051" w:rsidP="007F0E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15051" w:rsidP="007F0E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E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0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0E70" w:rsidRPr="00C15051" w:rsidP="00C150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E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051" w:rsidRPr="002D2AF8" w:rsidP="007F0E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TLII0001 Market international freight forwarding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15051" w:rsidP="007F0E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A29F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E46B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E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0E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0E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0E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0E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0E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0E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0E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0E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0E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0E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0E70"/>
  </w:style>
  <w:style w:type="character" w:customStyle="1" w:styleId="Heading1Char">
    <w:name w:val="Heading 1 Char"/>
    <w:basedOn w:val="DefaultParagraphFont"/>
    <w:link w:val="Heading1"/>
    <w:rsid w:val="007F0E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0E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0E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0E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0E70"/>
    <w:rPr>
      <w:b/>
      <w:spacing w:val="0"/>
    </w:rPr>
  </w:style>
  <w:style w:type="paragraph" w:customStyle="1" w:styleId="SuperHeading">
    <w:name w:val="SuperHeading"/>
    <w:basedOn w:val="Normal"/>
    <w:rsid w:val="007F0E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0E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F0E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0E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0E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0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0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0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0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0E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0E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0E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0E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0E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0E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0E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0E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0E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0E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0E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0E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0E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0E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0E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0E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0E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0E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0E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0E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0E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0E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0E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0E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0E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0E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0E70"/>
    <w:rPr>
      <w:i/>
    </w:rPr>
  </w:style>
  <w:style w:type="paragraph" w:styleId="Caption">
    <w:name w:val="caption"/>
    <w:basedOn w:val="BodyText"/>
    <w:next w:val="Normal"/>
    <w:qFormat/>
    <w:rsid w:val="007F0E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0E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0E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0E70"/>
  </w:style>
  <w:style w:type="paragraph" w:styleId="TableofFigures">
    <w:name w:val="table of figures"/>
    <w:basedOn w:val="Normal"/>
    <w:next w:val="Normal"/>
    <w:semiHidden/>
    <w:rsid w:val="007F0E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0E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0E70"/>
    <w:rPr>
      <w:rFonts w:ascii="Wingdings" w:hAnsi="Wingdings"/>
    </w:rPr>
  </w:style>
  <w:style w:type="paragraph" w:customStyle="1" w:styleId="TableHeading">
    <w:name w:val="Table Heading"/>
    <w:basedOn w:val="HeadingBase"/>
    <w:rsid w:val="007F0E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0E70"/>
    <w:rPr>
      <w:color w:val="0033CC"/>
      <w:u w:val="none"/>
    </w:rPr>
  </w:style>
  <w:style w:type="paragraph" w:customStyle="1" w:styleId="BodyTextRight">
    <w:name w:val="Body Text Right"/>
    <w:basedOn w:val="BodyText"/>
    <w:rsid w:val="007F0E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0E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0E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0E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0E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0E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0E70"/>
    <w:rPr>
      <w:sz w:val="32"/>
    </w:rPr>
  </w:style>
  <w:style w:type="paragraph" w:customStyle="1" w:styleId="HeadingProcedure">
    <w:name w:val="Heading Procedure"/>
    <w:basedOn w:val="HeadingBase"/>
    <w:next w:val="Normal"/>
    <w:rsid w:val="007F0E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0E70"/>
    <w:pPr>
      <w:spacing w:before="60" w:after="60"/>
    </w:pPr>
  </w:style>
  <w:style w:type="paragraph" w:styleId="ListContinue">
    <w:name w:val="List Continue"/>
    <w:basedOn w:val="List"/>
    <w:rsid w:val="007F0E70"/>
    <w:pPr>
      <w:ind w:firstLine="0"/>
    </w:pPr>
  </w:style>
  <w:style w:type="paragraph" w:customStyle="1" w:styleId="ListNote">
    <w:name w:val="List Note"/>
    <w:basedOn w:val="List"/>
    <w:rsid w:val="007F0E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0E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0E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0E70"/>
    <w:rPr>
      <w:rFonts w:ascii="Courier New" w:hAnsi="Courier New"/>
    </w:rPr>
  </w:style>
  <w:style w:type="paragraph" w:customStyle="1" w:styleId="NoteBullet">
    <w:name w:val="Note Bullet"/>
    <w:basedOn w:val="Note"/>
    <w:rsid w:val="007F0E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0E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0E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0E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0E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0E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0E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0E70"/>
    <w:rPr>
      <w:b/>
      <w:smallCaps/>
    </w:rPr>
  </w:style>
  <w:style w:type="paragraph" w:customStyle="1" w:styleId="TableListNumber">
    <w:name w:val="Table List Number"/>
    <w:basedOn w:val="ListNumber"/>
    <w:rsid w:val="007F0E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0E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0E70"/>
    <w:pPr>
      <w:numPr>
        <w:numId w:val="8"/>
      </w:numPr>
    </w:pPr>
  </w:style>
  <w:style w:type="paragraph" w:customStyle="1" w:styleId="ListAlpha2">
    <w:name w:val="List Alpha 2"/>
    <w:basedOn w:val="List2"/>
    <w:rsid w:val="007F0E70"/>
    <w:pPr>
      <w:numPr>
        <w:numId w:val="7"/>
      </w:numPr>
    </w:pPr>
  </w:style>
  <w:style w:type="paragraph" w:styleId="List2">
    <w:name w:val="List 2"/>
    <w:basedOn w:val="BodyText"/>
    <w:rsid w:val="007F0E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0E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0E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0E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0E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0E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0E70"/>
    <w:pPr>
      <w:numPr>
        <w:numId w:val="3"/>
      </w:numPr>
    </w:pPr>
  </w:style>
  <w:style w:type="paragraph" w:styleId="ListContinue2">
    <w:name w:val="List Continue 2"/>
    <w:basedOn w:val="List2"/>
    <w:rsid w:val="007F0E70"/>
    <w:pPr>
      <w:ind w:firstLine="0"/>
    </w:pPr>
  </w:style>
  <w:style w:type="paragraph" w:styleId="ListContinue3">
    <w:name w:val="List Continue 3"/>
    <w:basedOn w:val="List3"/>
    <w:rsid w:val="007F0E70"/>
    <w:pPr>
      <w:ind w:left="1021" w:firstLine="0"/>
    </w:pPr>
  </w:style>
  <w:style w:type="paragraph" w:styleId="ListContinue4">
    <w:name w:val="List Continue 4"/>
    <w:basedOn w:val="List4"/>
    <w:rsid w:val="007F0E70"/>
    <w:pPr>
      <w:ind w:firstLine="0"/>
    </w:pPr>
  </w:style>
  <w:style w:type="paragraph" w:styleId="ListContinue5">
    <w:name w:val="List Continue 5"/>
    <w:basedOn w:val="List5"/>
    <w:rsid w:val="007F0E70"/>
    <w:pPr>
      <w:ind w:firstLine="0"/>
    </w:pPr>
  </w:style>
  <w:style w:type="paragraph" w:styleId="ListNumber3">
    <w:name w:val="List Number 3"/>
    <w:basedOn w:val="List3"/>
    <w:rsid w:val="007F0E70"/>
    <w:pPr>
      <w:numPr>
        <w:numId w:val="4"/>
      </w:numPr>
    </w:pPr>
  </w:style>
  <w:style w:type="paragraph" w:styleId="ListNumber4">
    <w:name w:val="List Number 4"/>
    <w:basedOn w:val="List4"/>
    <w:rsid w:val="007F0E70"/>
    <w:pPr>
      <w:numPr>
        <w:numId w:val="5"/>
      </w:numPr>
    </w:pPr>
  </w:style>
  <w:style w:type="paragraph" w:styleId="ListNumber5">
    <w:name w:val="List Number 5"/>
    <w:basedOn w:val="List5"/>
    <w:rsid w:val="007F0E70"/>
    <w:pPr>
      <w:numPr>
        <w:numId w:val="6"/>
      </w:numPr>
    </w:pPr>
  </w:style>
  <w:style w:type="paragraph" w:styleId="BlockText">
    <w:name w:val="Block Text"/>
    <w:basedOn w:val="Normal"/>
    <w:rsid w:val="007F0E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0E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0E70"/>
    <w:rPr>
      <w:sz w:val="16"/>
      <w:vertAlign w:val="superscript"/>
    </w:rPr>
  </w:style>
  <w:style w:type="character" w:customStyle="1" w:styleId="Symbols">
    <w:name w:val="Symbols"/>
    <w:basedOn w:val="DefaultParagraphFont"/>
    <w:rsid w:val="007F0E70"/>
    <w:rPr>
      <w:rFonts w:ascii="Symbol" w:hAnsi="Symbol"/>
    </w:rPr>
  </w:style>
  <w:style w:type="character" w:customStyle="1" w:styleId="MenuOptions">
    <w:name w:val="Menu Options"/>
    <w:basedOn w:val="DefaultParagraphFont"/>
    <w:rsid w:val="007F0E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0E70"/>
    <w:rPr>
      <w:b/>
    </w:rPr>
  </w:style>
  <w:style w:type="character" w:customStyle="1" w:styleId="Underlined">
    <w:name w:val="Underlined"/>
    <w:basedOn w:val="DefaultParagraphFont"/>
    <w:rsid w:val="007F0E70"/>
    <w:rPr>
      <w:u w:val="single"/>
    </w:rPr>
  </w:style>
  <w:style w:type="paragraph" w:customStyle="1" w:styleId="TableBodyTextRight">
    <w:name w:val="Table Body Text Right"/>
    <w:basedOn w:val="TableBodyText"/>
    <w:rsid w:val="007F0E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0E70"/>
    <w:rPr>
      <w:sz w:val="18"/>
    </w:rPr>
  </w:style>
  <w:style w:type="paragraph" w:customStyle="1" w:styleId="BodySmallRight">
    <w:name w:val="Body Small Right"/>
    <w:basedOn w:val="BodyTextRight"/>
    <w:rsid w:val="007F0E70"/>
    <w:rPr>
      <w:sz w:val="18"/>
      <w:szCs w:val="18"/>
    </w:rPr>
  </w:style>
  <w:style w:type="paragraph" w:customStyle="1" w:styleId="MarginEdition">
    <w:name w:val="Margin Edition"/>
    <w:basedOn w:val="MarginNote"/>
    <w:rsid w:val="007F0E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0E70"/>
    <w:rPr>
      <w:sz w:val="2"/>
      <w:szCs w:val="2"/>
    </w:rPr>
  </w:style>
  <w:style w:type="character" w:customStyle="1" w:styleId="Small">
    <w:name w:val="Small"/>
    <w:basedOn w:val="DefaultParagraphFont"/>
    <w:rsid w:val="007F0E70"/>
    <w:rPr>
      <w:sz w:val="16"/>
    </w:rPr>
  </w:style>
  <w:style w:type="paragraph" w:customStyle="1" w:styleId="WideTable">
    <w:name w:val="Wide Table"/>
    <w:basedOn w:val="Normal"/>
    <w:rsid w:val="007F0E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0E70"/>
  </w:style>
  <w:style w:type="paragraph" w:styleId="Quote">
    <w:name w:val="Quote"/>
    <w:basedOn w:val="Heading1"/>
    <w:link w:val="QuoteChar"/>
    <w:qFormat/>
    <w:rsid w:val="007F0E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0E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0E70"/>
    <w:pPr>
      <w:pageBreakBefore/>
    </w:pPr>
  </w:style>
  <w:style w:type="paragraph" w:customStyle="1" w:styleId="Border">
    <w:name w:val="Border"/>
    <w:basedOn w:val="Normal"/>
    <w:qFormat/>
    <w:rsid w:val="007F0E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0E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E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E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0E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0E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0E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0E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0E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0E70"/>
    <w:rPr>
      <w:u w:val="single"/>
    </w:rPr>
  </w:style>
  <w:style w:type="character" w:customStyle="1" w:styleId="BoldandItalics">
    <w:name w:val="Bold and Italics"/>
    <w:qFormat/>
    <w:rsid w:val="007F0E70"/>
    <w:rPr>
      <w:b/>
      <w:i/>
      <w:u w:val="none"/>
    </w:rPr>
  </w:style>
  <w:style w:type="paragraph" w:styleId="BalloonText">
    <w:name w:val="Balloon Text"/>
    <w:basedOn w:val="Normal"/>
    <w:link w:val="BalloonTextChar"/>
    <w:rsid w:val="007F0E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E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0E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0E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0E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0E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0E70"/>
    <w:pPr>
      <w:spacing w:before="0" w:after="0"/>
    </w:pPr>
  </w:style>
  <w:style w:type="paragraph" w:customStyle="1" w:styleId="BodyTextBold">
    <w:name w:val="Body Text Bold"/>
    <w:basedOn w:val="BodyText"/>
    <w:qFormat/>
    <w:rsid w:val="007F0E70"/>
    <w:rPr>
      <w:b/>
    </w:rPr>
  </w:style>
  <w:style w:type="character" w:styleId="Hyperlink">
    <w:name w:val="Hyperlink"/>
    <w:basedOn w:val="DefaultParagraphFont"/>
    <w:uiPriority w:val="99"/>
    <w:unhideWhenUsed/>
    <w:rsid w:val="00C150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</Words>
  <Characters>2682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TLII0001 Market international freight forwarding services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2024-07-12T07:39:00Z</dcterms:created>
  <dcterms:modified xsi:type="dcterms:W3CDTF">2024-07-12T07:39:00Z</dcterms:modified>
</cp:coreProperties>
</file>