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51A" w:rsidP="00FE5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TLIH3002 Plan and navigate routes</w:t>
      </w:r>
      <w:r>
        <w:fldChar w:fldCharType="end"/>
      </w:r>
    </w:p>
    <w:p w:rsidR="00FE551A" w:rsidP="00FE551A">
      <w:pPr>
        <w:pStyle w:val="Version"/>
        <w:sectPr w:rsidSect="00DE4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626" w:rsidP="00DE4626">
      <w:pPr>
        <w:pStyle w:val="SuperHeading"/>
      </w:pPr>
      <w:r w:rsidRPr="00DE4626">
        <w:t>TLIH3002 Plan and navigate routes</w:t>
      </w:r>
    </w:p>
    <w:p w:rsidR="00000000" w:rsidRPr="00DE4626" w:rsidP="00DE4626">
      <w:pPr>
        <w:pStyle w:val="Heading1"/>
      </w:pPr>
      <w:bookmarkStart w:id="1" w:name="O_845843"/>
      <w:bookmarkEnd w:id="1"/>
      <w:r w:rsidRPr="00DE4626">
        <w:t>Modification History</w:t>
      </w:r>
    </w:p>
    <w:p w:rsidR="00FE551A" w:rsidP="00FE551A">
      <w:pPr>
        <w:pStyle w:val="BodyText"/>
      </w:pPr>
      <w:r w:rsidRPr="00DE4626">
        <w:t>Release 1. This is the first release of this unit of competency in the TLI Transport and Logistics Training Package.</w:t>
      </w:r>
    </w:p>
    <w:p w:rsidR="00000000" w:rsidRPr="00DE4626" w:rsidP="00DE4626">
      <w:pPr>
        <w:pStyle w:val="Heading1"/>
      </w:pPr>
      <w:bookmarkStart w:id="2" w:name="O_845844"/>
      <w:bookmarkEnd w:id="2"/>
      <w:r w:rsidRPr="00DE462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46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t>This unit involves the skills and knowledge required to plan and navigate routes as part</w:t>
            </w:r>
            <w:r w:rsidRPr="00DE4626">
              <w:t xml:space="preserve"> of transport operations, in accordance with relevant state/territory roads and traffic authority regulations. </w:t>
            </w:r>
          </w:p>
          <w:p w:rsidR="00000000" w:rsidRPr="00DE4626" w:rsidP="00DE4626">
            <w:pPr>
              <w:pStyle w:val="BodyText"/>
            </w:pPr>
            <w:r w:rsidRPr="00DE4626">
              <w:t xml:space="preserve">It includes interpreting information from a road map, street directory or global positioning system (GPS) device; planning the most appropriate </w:t>
            </w:r>
            <w:r w:rsidRPr="00DE4626">
              <w:t>route taking into account pertinent factors; and completing required trip documentation in accordance with operational requirements.</w:t>
            </w:r>
          </w:p>
          <w:p w:rsidR="00000000" w:rsidRPr="00DE4626" w:rsidP="00DE4626">
            <w:pPr>
              <w:pStyle w:val="BodyText"/>
            </w:pPr>
            <w:r w:rsidRPr="00DE4626">
              <w:t>This unit relates to the work of transport and distribution personnel involved in passenger services and/or the delivery of</w:t>
            </w:r>
            <w:r w:rsidRPr="00DE4626">
              <w:t xml:space="preserve"> a range of possible goods and materials including valuables, secured products documents and materials.</w:t>
            </w:r>
          </w:p>
          <w:p w:rsidR="00000000" w:rsidRPr="00DE4626" w:rsidP="00DE4626">
            <w:pPr>
              <w:pStyle w:val="BodyText"/>
            </w:pPr>
            <w:r w:rsidRPr="00DE4626">
              <w:t xml:space="preserve">Work is performed under general or limited supervision. </w:t>
            </w:r>
          </w:p>
          <w:p w:rsidR="00000000" w:rsidRPr="00DE4626" w:rsidP="00DE4626">
            <w:pPr>
              <w:pStyle w:val="BodyText"/>
            </w:pPr>
            <w:r w:rsidRPr="00DE4626">
              <w:t>No licensing, legislative or certification requirements apply to this unit at the time of publi</w:t>
            </w:r>
            <w:r w:rsidRPr="00DE4626">
              <w:t>cation.</w:t>
            </w:r>
          </w:p>
        </w:tc>
      </w:tr>
    </w:tbl>
    <w:p w:rsidR="00FE551A" w:rsidP="00DE4626">
      <w:pPr>
        <w:pStyle w:val="BodyText"/>
      </w:pPr>
    </w:p>
    <w:p w:rsidR="00FE551A" w:rsidP="00DE4626">
      <w:pPr>
        <w:pStyle w:val="BodyText"/>
      </w:pPr>
    </w:p>
    <w:p w:rsidR="00000000" w:rsidRPr="00DE4626" w:rsidP="00DE4626">
      <w:pPr>
        <w:pStyle w:val="Heading1"/>
      </w:pPr>
      <w:bookmarkStart w:id="3" w:name="O_845845"/>
      <w:bookmarkEnd w:id="3"/>
      <w:r w:rsidRPr="00DE4626">
        <w:t>Pre-requisite Unit</w:t>
      </w:r>
    </w:p>
    <w:p w:rsidR="00FE551A" w:rsidP="00FE551A">
      <w:pPr>
        <w:pStyle w:val="BodyText"/>
      </w:pPr>
      <w:r w:rsidRPr="00DE4626">
        <w:t>Not applicable.</w:t>
      </w:r>
    </w:p>
    <w:p w:rsidR="00000000" w:rsidRPr="00DE4626" w:rsidP="00DE4626">
      <w:pPr>
        <w:pStyle w:val="Heading1"/>
      </w:pPr>
      <w:bookmarkStart w:id="4" w:name="O_845846"/>
      <w:bookmarkEnd w:id="4"/>
      <w:r w:rsidRPr="00DE4626">
        <w:t>Competency Field</w:t>
      </w:r>
    </w:p>
    <w:p w:rsidR="00FE551A" w:rsidP="00FE551A">
      <w:pPr>
        <w:pStyle w:val="BodyText"/>
      </w:pPr>
      <w:r w:rsidRPr="00DE4626">
        <w:t>H – Route Planning and Navigation</w:t>
      </w:r>
    </w:p>
    <w:p w:rsidR="00000000" w:rsidRPr="00DE4626" w:rsidP="00DE4626">
      <w:pPr>
        <w:pStyle w:val="Heading1"/>
      </w:pPr>
      <w:bookmarkStart w:id="5" w:name="O_845847"/>
      <w:bookmarkEnd w:id="5"/>
      <w:r w:rsidRPr="00DE4626">
        <w:t>Unit Sector</w:t>
      </w:r>
    </w:p>
    <w:p w:rsidR="00FE551A" w:rsidP="00FE551A">
      <w:pPr>
        <w:pStyle w:val="BodyText"/>
      </w:pPr>
      <w:r w:rsidRPr="00DE4626">
        <w:t>Not applicable.</w:t>
      </w:r>
    </w:p>
    <w:p w:rsidR="00000000" w:rsidRPr="00DE4626" w:rsidP="00DE4626">
      <w:pPr>
        <w:pStyle w:val="Heading1"/>
      </w:pPr>
      <w:bookmarkStart w:id="6" w:name="O_845848"/>
      <w:bookmarkEnd w:id="6"/>
      <w:r w:rsidRPr="00DE462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rPr>
                <w:rStyle w:val="SpecialBold"/>
              </w:rPr>
              <w:t>PERFORMANCE CRITERIA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Performance criteria describe the performance needed to demonstrate achievement of the element.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rPr>
                <w:rStyle w:val="SpecialBold"/>
              </w:rPr>
              <w:t>Interpret street maps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Symbols in a street directory/road map/GPS are recognised and in</w:t>
            </w:r>
            <w:r w:rsidRPr="00DE4626">
              <w:t>terpreted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Places are identified in a directory index and information is used to locate places on appropriate map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rPr>
                <w:rStyle w:val="SpecialBold"/>
              </w:rPr>
              <w:t>Plan routes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Given a location and a destination, the most direct and alternative routes between two points are identified using a street directory/road map/GPS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Hazards are identified, risks are assessed and control measures are implemented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Information on height, width and load limits of road infrastructure and other restrictions on thoroughfares is accessed, interpreted and taken into account when planning a route for a journey, as required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Suitable route is selected to ensure the mos</w:t>
            </w:r>
            <w:r w:rsidRPr="00DE4626">
              <w:t>t efficient, safe, secure and legal transport operation, taking into account relevant criteria for transport operation concerned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rPr>
                <w:rStyle w:val="SpecialBold"/>
              </w:rPr>
              <w:t>Follow planned route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Planned route is correctly followed with aid of a street directory, road map and/or GPS system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Geographic regions, tourism features and other places of interest are identified, as required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Route documentation is completed in accordance with purpose of transportation and workplace requirements</w:t>
            </w:r>
          </w:p>
        </w:tc>
      </w:tr>
      <w:tr w:rsidTr="00FE55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626">
            <w:pPr>
              <w:pStyle w:val="BodyText"/>
              <w:rPr>
                <w:lang w:val="en-NZ"/>
              </w:rPr>
            </w:pPr>
            <w:r w:rsidRPr="00DE462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626" w:rsidP="00DE4626">
            <w:pPr>
              <w:pStyle w:val="BodyText"/>
            </w:pPr>
            <w:r w:rsidRPr="00DE4626">
              <w:t>Parking procedures are observed in acco</w:t>
            </w:r>
            <w:r w:rsidRPr="00DE4626">
              <w:t>rdance with enterprise procedures and relevant legislative requirements</w:t>
            </w:r>
          </w:p>
        </w:tc>
      </w:tr>
    </w:tbl>
    <w:p w:rsidR="00FE551A" w:rsidP="00DE4626">
      <w:pPr>
        <w:pStyle w:val="BodyText"/>
      </w:pPr>
    </w:p>
    <w:p w:rsidR="00FE551A" w:rsidP="00DE4626">
      <w:pPr>
        <w:pStyle w:val="BodyText"/>
      </w:pPr>
    </w:p>
    <w:p w:rsidR="00000000" w:rsidRPr="00DE4626" w:rsidP="00DE4626">
      <w:pPr>
        <w:pStyle w:val="Heading1"/>
      </w:pPr>
      <w:bookmarkStart w:id="7" w:name="O_845849"/>
      <w:bookmarkEnd w:id="7"/>
      <w:r w:rsidRPr="00DE4626">
        <w:t>Foundation Skills</w:t>
      </w:r>
    </w:p>
    <w:p w:rsidR="00FE551A" w:rsidP="00FE551A">
      <w:pPr>
        <w:pStyle w:val="BodyText"/>
      </w:pPr>
      <w:r w:rsidRPr="00DE4626">
        <w:t>Foundation skills essential to performance are explicit in the performance criteria of this unit of competency.</w:t>
      </w:r>
    </w:p>
    <w:p w:rsidR="00000000" w:rsidRPr="00DE4626" w:rsidP="00DE4626">
      <w:pPr>
        <w:pStyle w:val="Heading1"/>
      </w:pPr>
      <w:bookmarkStart w:id="8" w:name="O_845850"/>
      <w:bookmarkEnd w:id="8"/>
      <w:r w:rsidRPr="00DE4626">
        <w:t>Range of Conditions</w:t>
      </w:r>
    </w:p>
    <w:p w:rsidR="00000000" w:rsidRPr="00DE4626" w:rsidP="00FE551A">
      <w:pPr>
        <w:pStyle w:val="BodyText"/>
      </w:pPr>
      <w:r w:rsidRPr="00DE4626">
        <w:t>Range is restricted to essential operating conditions and any other variables essential to the work environment.</w:t>
      </w:r>
    </w:p>
    <w:p w:rsidR="00FE551A" w:rsidP="00FE551A">
      <w:pPr>
        <w:pStyle w:val="BodyText"/>
      </w:pPr>
      <w:r w:rsidRPr="00DE4626">
        <w:t>Non-essential conditions can be found in the Companion Volume Implementation Guide.</w:t>
      </w:r>
    </w:p>
    <w:p w:rsidR="00000000" w:rsidRPr="00DE4626" w:rsidP="00DE4626">
      <w:pPr>
        <w:pStyle w:val="Heading1"/>
      </w:pPr>
      <w:bookmarkStart w:id="9" w:name="O_845851"/>
      <w:bookmarkEnd w:id="9"/>
      <w:r w:rsidRPr="00DE4626">
        <w:t>Unit Mapping Informat</w:t>
      </w:r>
      <w:r w:rsidRPr="00DE4626">
        <w:t>ion</w:t>
      </w:r>
    </w:p>
    <w:p w:rsidR="00FE551A" w:rsidP="00FE551A">
      <w:pPr>
        <w:pStyle w:val="BodyText"/>
      </w:pPr>
      <w:r w:rsidRPr="00DE4626">
        <w:t>This unit replaces and is equivalent to TLIH3002A Plan and navigate routes.</w:t>
      </w:r>
    </w:p>
    <w:p w:rsidR="00000000" w:rsidRPr="00DE4626" w:rsidP="00DE4626">
      <w:pPr>
        <w:pStyle w:val="Heading1"/>
      </w:pPr>
      <w:bookmarkStart w:id="10" w:name="O_845858"/>
      <w:bookmarkEnd w:id="10"/>
      <w:r w:rsidRPr="00DE4626">
        <w:t>Links</w:t>
      </w:r>
    </w:p>
    <w:p w:rsidR="00000000" w:rsidRPr="00DE4626" w:rsidP="00FE551A">
      <w:pPr>
        <w:pStyle w:val="BodyText"/>
      </w:pPr>
      <w:r w:rsidRPr="00DE4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190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E4626" w:rsidP="00DE4626"/>
    <w:sectPr w:rsidSect="00DE4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26" w:rsidRPr="00FE551A" w:rsidP="00FE5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1A" w:rsidP="00DE4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51A" w:rsidP="00DE4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551A" w:rsidP="00DE4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626" w:rsidRPr="00FE551A" w:rsidP="00FE5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1A" w:rsidRPr="002D2AF8" w:rsidP="00DE4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TLIH3002 Plan and navigate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E551A" w:rsidP="00DE4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626"/>
  </w:style>
  <w:style w:type="character" w:customStyle="1" w:styleId="Heading1Char">
    <w:name w:val="Heading 1 Char"/>
    <w:basedOn w:val="DefaultParagraphFont"/>
    <w:link w:val="Heading1"/>
    <w:rsid w:val="00DE4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6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626"/>
    <w:rPr>
      <w:b/>
      <w:spacing w:val="0"/>
    </w:rPr>
  </w:style>
  <w:style w:type="paragraph" w:customStyle="1" w:styleId="SuperHeading">
    <w:name w:val="SuperHeading"/>
    <w:basedOn w:val="Normal"/>
    <w:rsid w:val="00DE4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6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6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6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626"/>
    <w:rPr>
      <w:i/>
    </w:rPr>
  </w:style>
  <w:style w:type="paragraph" w:styleId="Caption">
    <w:name w:val="caption"/>
    <w:basedOn w:val="BodyText"/>
    <w:next w:val="Normal"/>
    <w:qFormat/>
    <w:rsid w:val="00DE4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626"/>
  </w:style>
  <w:style w:type="paragraph" w:styleId="TableofFigures">
    <w:name w:val="table of figures"/>
    <w:basedOn w:val="Normal"/>
    <w:next w:val="Normal"/>
    <w:semiHidden/>
    <w:rsid w:val="00DE4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6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626"/>
    <w:rPr>
      <w:rFonts w:ascii="Wingdings" w:hAnsi="Wingdings"/>
    </w:rPr>
  </w:style>
  <w:style w:type="paragraph" w:customStyle="1" w:styleId="TableHeading">
    <w:name w:val="Table Heading"/>
    <w:basedOn w:val="HeadingBase"/>
    <w:rsid w:val="00DE4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626"/>
    <w:rPr>
      <w:color w:val="0033CC"/>
      <w:u w:val="none"/>
    </w:rPr>
  </w:style>
  <w:style w:type="paragraph" w:customStyle="1" w:styleId="BodyTextRight">
    <w:name w:val="Body Text Right"/>
    <w:basedOn w:val="BodyText"/>
    <w:rsid w:val="00DE4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6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626"/>
    <w:rPr>
      <w:sz w:val="32"/>
    </w:rPr>
  </w:style>
  <w:style w:type="paragraph" w:customStyle="1" w:styleId="HeadingProcedure">
    <w:name w:val="Heading Procedure"/>
    <w:basedOn w:val="HeadingBase"/>
    <w:next w:val="Normal"/>
    <w:rsid w:val="00DE4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626"/>
    <w:pPr>
      <w:spacing w:before="60" w:after="60"/>
    </w:pPr>
  </w:style>
  <w:style w:type="paragraph" w:styleId="ListContinue">
    <w:name w:val="List Continue"/>
    <w:basedOn w:val="List"/>
    <w:rsid w:val="00DE4626"/>
    <w:pPr>
      <w:ind w:firstLine="0"/>
    </w:pPr>
  </w:style>
  <w:style w:type="paragraph" w:customStyle="1" w:styleId="ListNote">
    <w:name w:val="List Note"/>
    <w:basedOn w:val="List"/>
    <w:rsid w:val="00DE4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626"/>
    <w:rPr>
      <w:rFonts w:ascii="Courier New" w:hAnsi="Courier New"/>
    </w:rPr>
  </w:style>
  <w:style w:type="paragraph" w:customStyle="1" w:styleId="NoteBullet">
    <w:name w:val="Note Bullet"/>
    <w:basedOn w:val="Note"/>
    <w:rsid w:val="00DE4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6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626"/>
    <w:rPr>
      <w:b/>
      <w:smallCaps/>
    </w:rPr>
  </w:style>
  <w:style w:type="paragraph" w:customStyle="1" w:styleId="TableListNumber">
    <w:name w:val="Table List Number"/>
    <w:basedOn w:val="ListNumber"/>
    <w:rsid w:val="00DE4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626"/>
    <w:pPr>
      <w:numPr>
        <w:numId w:val="7"/>
      </w:numPr>
    </w:pPr>
  </w:style>
  <w:style w:type="paragraph" w:customStyle="1" w:styleId="ListAlpha2">
    <w:name w:val="List Alpha 2"/>
    <w:basedOn w:val="List2"/>
    <w:rsid w:val="00DE4626"/>
    <w:pPr>
      <w:numPr>
        <w:numId w:val="6"/>
      </w:numPr>
    </w:pPr>
  </w:style>
  <w:style w:type="paragraph" w:styleId="List2">
    <w:name w:val="List 2"/>
    <w:basedOn w:val="BodyText"/>
    <w:rsid w:val="00DE4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6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6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626"/>
    <w:pPr>
      <w:numPr>
        <w:numId w:val="2"/>
      </w:numPr>
    </w:pPr>
  </w:style>
  <w:style w:type="paragraph" w:styleId="ListContinue2">
    <w:name w:val="List Continue 2"/>
    <w:basedOn w:val="List2"/>
    <w:rsid w:val="00DE4626"/>
    <w:pPr>
      <w:ind w:firstLine="0"/>
    </w:pPr>
  </w:style>
  <w:style w:type="paragraph" w:styleId="ListContinue3">
    <w:name w:val="List Continue 3"/>
    <w:basedOn w:val="List3"/>
    <w:rsid w:val="00DE4626"/>
    <w:pPr>
      <w:ind w:left="1021" w:firstLine="0"/>
    </w:pPr>
  </w:style>
  <w:style w:type="paragraph" w:styleId="ListContinue4">
    <w:name w:val="List Continue 4"/>
    <w:basedOn w:val="List4"/>
    <w:rsid w:val="00DE4626"/>
    <w:pPr>
      <w:ind w:firstLine="0"/>
    </w:pPr>
  </w:style>
  <w:style w:type="paragraph" w:styleId="ListContinue5">
    <w:name w:val="List Continue 5"/>
    <w:basedOn w:val="List5"/>
    <w:rsid w:val="00DE4626"/>
    <w:pPr>
      <w:ind w:firstLine="0"/>
    </w:pPr>
  </w:style>
  <w:style w:type="paragraph" w:styleId="ListNumber3">
    <w:name w:val="List Number 3"/>
    <w:basedOn w:val="List3"/>
    <w:rsid w:val="00DE4626"/>
    <w:pPr>
      <w:numPr>
        <w:numId w:val="3"/>
      </w:numPr>
    </w:pPr>
  </w:style>
  <w:style w:type="paragraph" w:styleId="ListNumber4">
    <w:name w:val="List Number 4"/>
    <w:basedOn w:val="List4"/>
    <w:rsid w:val="00DE4626"/>
    <w:pPr>
      <w:numPr>
        <w:numId w:val="4"/>
      </w:numPr>
    </w:pPr>
  </w:style>
  <w:style w:type="paragraph" w:styleId="ListNumber5">
    <w:name w:val="List Number 5"/>
    <w:basedOn w:val="List5"/>
    <w:rsid w:val="00DE4626"/>
    <w:pPr>
      <w:numPr>
        <w:numId w:val="5"/>
      </w:numPr>
    </w:pPr>
  </w:style>
  <w:style w:type="paragraph" w:styleId="BlockText">
    <w:name w:val="Block Text"/>
    <w:basedOn w:val="Normal"/>
    <w:rsid w:val="00DE4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626"/>
    <w:rPr>
      <w:sz w:val="16"/>
      <w:vertAlign w:val="superscript"/>
    </w:rPr>
  </w:style>
  <w:style w:type="character" w:customStyle="1" w:styleId="Symbols">
    <w:name w:val="Symbols"/>
    <w:basedOn w:val="DefaultParagraphFont"/>
    <w:rsid w:val="00DE4626"/>
    <w:rPr>
      <w:rFonts w:ascii="Symbol" w:hAnsi="Symbol"/>
    </w:rPr>
  </w:style>
  <w:style w:type="character" w:customStyle="1" w:styleId="MenuOptions">
    <w:name w:val="Menu Options"/>
    <w:basedOn w:val="DefaultParagraphFont"/>
    <w:rsid w:val="00DE4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626"/>
    <w:rPr>
      <w:b/>
    </w:rPr>
  </w:style>
  <w:style w:type="character" w:customStyle="1" w:styleId="Underlined">
    <w:name w:val="Underlined"/>
    <w:basedOn w:val="DefaultParagraphFont"/>
    <w:rsid w:val="00DE4626"/>
    <w:rPr>
      <w:u w:val="single"/>
    </w:rPr>
  </w:style>
  <w:style w:type="paragraph" w:customStyle="1" w:styleId="TableBodyTextRight">
    <w:name w:val="Table Body Text Right"/>
    <w:basedOn w:val="TableBodyText"/>
    <w:rsid w:val="00DE4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626"/>
    <w:rPr>
      <w:sz w:val="18"/>
    </w:rPr>
  </w:style>
  <w:style w:type="paragraph" w:customStyle="1" w:styleId="BodySmallRight">
    <w:name w:val="Body Small Right"/>
    <w:basedOn w:val="BodyTextRight"/>
    <w:rsid w:val="00DE4626"/>
    <w:rPr>
      <w:sz w:val="18"/>
      <w:szCs w:val="18"/>
    </w:rPr>
  </w:style>
  <w:style w:type="paragraph" w:customStyle="1" w:styleId="MarginEdition">
    <w:name w:val="Margin Edition"/>
    <w:basedOn w:val="MarginNote"/>
    <w:rsid w:val="00DE4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626"/>
    <w:rPr>
      <w:sz w:val="2"/>
      <w:szCs w:val="2"/>
    </w:rPr>
  </w:style>
  <w:style w:type="character" w:customStyle="1" w:styleId="Small">
    <w:name w:val="Small"/>
    <w:basedOn w:val="DefaultParagraphFont"/>
    <w:rsid w:val="00DE4626"/>
    <w:rPr>
      <w:sz w:val="16"/>
    </w:rPr>
  </w:style>
  <w:style w:type="paragraph" w:customStyle="1" w:styleId="WideTable">
    <w:name w:val="Wide Table"/>
    <w:basedOn w:val="Normal"/>
    <w:rsid w:val="00DE4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626"/>
  </w:style>
  <w:style w:type="paragraph" w:styleId="Quote">
    <w:name w:val="Quote"/>
    <w:basedOn w:val="Heading1"/>
    <w:link w:val="QuoteChar"/>
    <w:qFormat/>
    <w:rsid w:val="00DE4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626"/>
    <w:pPr>
      <w:pageBreakBefore/>
    </w:pPr>
  </w:style>
  <w:style w:type="paragraph" w:customStyle="1" w:styleId="Border">
    <w:name w:val="Border"/>
    <w:basedOn w:val="Normal"/>
    <w:qFormat/>
    <w:rsid w:val="00DE4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626"/>
    <w:rPr>
      <w:u w:val="single"/>
    </w:rPr>
  </w:style>
  <w:style w:type="character" w:customStyle="1" w:styleId="BoldandItalics">
    <w:name w:val="Bold and Italics"/>
    <w:qFormat/>
    <w:rsid w:val="00DE4626"/>
    <w:rPr>
      <w:b/>
      <w:i/>
      <w:u w:val="none"/>
    </w:rPr>
  </w:style>
  <w:style w:type="paragraph" w:styleId="BalloonText">
    <w:name w:val="Balloon Text"/>
    <w:basedOn w:val="Normal"/>
    <w:link w:val="BalloonTextChar"/>
    <w:rsid w:val="00DE4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626"/>
    <w:pPr>
      <w:spacing w:before="0" w:after="0"/>
    </w:pPr>
  </w:style>
  <w:style w:type="paragraph" w:customStyle="1" w:styleId="BodyTextBold">
    <w:name w:val="Body Text Bold"/>
    <w:basedOn w:val="BodyText"/>
    <w:qFormat/>
    <w:rsid w:val="00DE4626"/>
    <w:rPr>
      <w:b/>
    </w:rPr>
  </w:style>
  <w:style w:type="character" w:styleId="Hyperlink">
    <w:name w:val="Hyperlink"/>
    <w:basedOn w:val="DefaultParagraphFont"/>
    <w:uiPriority w:val="99"/>
    <w:unhideWhenUsed/>
    <w:rsid w:val="00FE5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3011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TLIH3002 Plan and navigate routes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