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E26" w:rsidP="00345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TLIH0004 Identify major roads, services and attractions</w:t>
      </w:r>
      <w:r>
        <w:fldChar w:fldCharType="end"/>
      </w:r>
    </w:p>
    <w:p w:rsidR="00345E26" w:rsidP="00345E26">
      <w:pPr>
        <w:pStyle w:val="Version"/>
        <w:sectPr w:rsidSect="00302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6D2" w:rsidP="003026D2">
      <w:pPr>
        <w:pStyle w:val="SuperHeading"/>
      </w:pPr>
      <w:r w:rsidRPr="003026D2">
        <w:t>TLIH0004 Identify major roads, services and attractions</w:t>
      </w:r>
    </w:p>
    <w:p w:rsidR="00000000" w:rsidRPr="003026D2" w:rsidP="003026D2">
      <w:pPr>
        <w:pStyle w:val="Heading1"/>
      </w:pPr>
      <w:bookmarkStart w:id="1" w:name="O_1194167"/>
      <w:bookmarkEnd w:id="1"/>
      <w:r w:rsidRPr="003026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Release 1.</w:t>
            </w:r>
            <w:r w:rsidRPr="003026D2">
              <w:t xml:space="preserve"> This is the first release of this unit of competency in the TLI Transport and Logistics Training Package.</w:t>
            </w:r>
          </w:p>
        </w:tc>
      </w:tr>
    </w:tbl>
    <w:p w:rsidR="00000000" w:rsidRPr="003026D2" w:rsidP="003026D2">
      <w:pPr>
        <w:pStyle w:val="NoPaddingFontSize1"/>
      </w:pPr>
    </w:p>
    <w:p w:rsidR="00000000" w:rsidRPr="003026D2" w:rsidP="003026D2">
      <w:pPr>
        <w:pStyle w:val="AllowPageBreak"/>
      </w:pPr>
    </w:p>
    <w:p w:rsidR="00000000" w:rsidRPr="003026D2" w:rsidP="003026D2">
      <w:pPr>
        <w:pStyle w:val="Heading1"/>
      </w:pPr>
      <w:bookmarkStart w:id="2" w:name="O_1194168"/>
      <w:bookmarkEnd w:id="2"/>
      <w:r w:rsidRPr="003026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>This unit involves the skills and knowledge required to identify ma</w:t>
            </w:r>
            <w:r w:rsidRPr="003026D2">
              <w:t>jor roads, services and attractions.</w:t>
            </w:r>
          </w:p>
          <w:p w:rsidR="00000000" w:rsidRPr="003026D2" w:rsidP="003026D2">
            <w:pPr>
              <w:pStyle w:val="BodyText"/>
            </w:pPr>
            <w:r w:rsidRPr="003026D2">
              <w:t xml:space="preserve">It includes locating major roads, highways and suburbs in area of operation; and locating transport interchanges, jetties, ports, stations and terminals. It also includes identifying main public services and facilities </w:t>
            </w:r>
            <w:r w:rsidRPr="003026D2">
              <w:t>and locating key features in a central business district on a map.</w:t>
            </w:r>
          </w:p>
          <w:p w:rsidR="00000000" w:rsidRPr="003026D2" w:rsidP="003026D2">
            <w:pPr>
              <w:pStyle w:val="BodyText"/>
            </w:pPr>
            <w:r w:rsidRPr="003026D2">
              <w:t xml:space="preserve">Work is performed with limited supervision, and with duty of care responsibility for self and others in achieving the prescribed outcomes. </w:t>
            </w:r>
          </w:p>
          <w:p w:rsidR="00000000" w:rsidRPr="003026D2" w:rsidP="003026D2">
            <w:pPr>
              <w:pStyle w:val="BodyText"/>
            </w:pPr>
            <w:r w:rsidRPr="003026D2">
              <w:t>This unit meets part of the certification require</w:t>
            </w:r>
            <w:r w:rsidRPr="003026D2">
              <w:t>ments for obtaining specialist driver accreditations. As requirements may vary between states and territories, people seeking specialist driver accreditation should contact their state/territory licensing regulator.</w:t>
            </w:r>
          </w:p>
        </w:tc>
      </w:tr>
    </w:tbl>
    <w:p w:rsidR="00000000" w:rsidRPr="003026D2" w:rsidP="003026D2">
      <w:pPr>
        <w:pStyle w:val="NoPaddingFontSize1"/>
      </w:pPr>
    </w:p>
    <w:p w:rsidR="00000000" w:rsidRPr="003026D2" w:rsidP="003026D2">
      <w:pPr>
        <w:pStyle w:val="AllowPageBreak"/>
      </w:pPr>
    </w:p>
    <w:p w:rsidR="00000000" w:rsidRPr="003026D2" w:rsidP="003026D2">
      <w:pPr>
        <w:pStyle w:val="Heading1"/>
      </w:pPr>
      <w:bookmarkStart w:id="3" w:name="O_1194169"/>
      <w:bookmarkEnd w:id="3"/>
      <w:r w:rsidRPr="003026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>Not applicable.</w:t>
            </w:r>
          </w:p>
        </w:tc>
      </w:tr>
    </w:tbl>
    <w:p w:rsidR="00000000" w:rsidRPr="003026D2" w:rsidP="003026D2">
      <w:pPr>
        <w:pStyle w:val="NoPaddingFontSize1"/>
      </w:pPr>
    </w:p>
    <w:p w:rsidR="00000000" w:rsidRPr="003026D2" w:rsidP="003026D2">
      <w:pPr>
        <w:pStyle w:val="AllowPageBreak"/>
      </w:pPr>
    </w:p>
    <w:p w:rsidR="00000000" w:rsidRPr="003026D2" w:rsidP="003026D2">
      <w:pPr>
        <w:pStyle w:val="Heading1"/>
      </w:pPr>
      <w:bookmarkStart w:id="4" w:name="O_1194170"/>
      <w:bookmarkEnd w:id="4"/>
      <w:r w:rsidRPr="003026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>H – Route Planning and Navigation.</w:t>
            </w:r>
          </w:p>
        </w:tc>
      </w:tr>
    </w:tbl>
    <w:p w:rsidR="00345E26" w:rsidP="003026D2">
      <w:pPr>
        <w:pStyle w:val="NoPaddingFontSize1"/>
      </w:pPr>
    </w:p>
    <w:p w:rsidR="00345E26" w:rsidP="003026D2">
      <w:pPr>
        <w:pStyle w:val="NoPaddingFontSize1"/>
      </w:pPr>
    </w:p>
    <w:p w:rsidR="00000000" w:rsidRPr="003026D2" w:rsidP="003026D2">
      <w:pPr>
        <w:pStyle w:val="Heading1"/>
      </w:pPr>
      <w:bookmarkStart w:id="5" w:name="O_1194171"/>
      <w:bookmarkEnd w:id="5"/>
      <w:r w:rsidRPr="003026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>Not applicable.</w:t>
            </w:r>
          </w:p>
        </w:tc>
      </w:tr>
    </w:tbl>
    <w:p w:rsidR="00345E26" w:rsidP="003026D2">
      <w:pPr>
        <w:pStyle w:val="NoPaddingFontSize1"/>
      </w:pPr>
    </w:p>
    <w:p w:rsidR="00345E26" w:rsidP="003026D2">
      <w:pPr>
        <w:pStyle w:val="NoPaddingFontSize1"/>
      </w:pPr>
    </w:p>
    <w:p w:rsidR="00000000" w:rsidRPr="003026D2" w:rsidP="003026D2">
      <w:pPr>
        <w:pStyle w:val="Heading1"/>
      </w:pPr>
      <w:bookmarkStart w:id="6" w:name="O_1194172"/>
      <w:bookmarkEnd w:id="6"/>
      <w:r w:rsidRPr="003026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461"/>
        <w:gridCol w:w="6347"/>
      </w:tblGrid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PERFORMANCE CRITERIA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Performance criteria describe the performance needed to demonstrate achievement of the element.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 xml:space="preserve">Locate all major roads, highways and </w:t>
            </w:r>
            <w:r w:rsidRPr="003026D2">
              <w:rPr>
                <w:rStyle w:val="SpecialBold"/>
              </w:rPr>
              <w:t>suburbs in area of operation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1.1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Major roads and associated suburbs are identified and located on a map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1.2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 xml:space="preserve">Suburbs serviced by a freeway are identified and located on a map 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1.3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Main suburbs, with relation to geographical sectors (east, west, north and south), are identified in order of closest proximity to destination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1.4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Bus/taxi lanes are identified and located on a map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Locate transport interchanges, jetties, ports, stati</w:t>
            </w:r>
            <w:r w:rsidRPr="003026D2">
              <w:rPr>
                <w:rStyle w:val="SpecialBold"/>
              </w:rPr>
              <w:t>ons and terminals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2.1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Major transport interchanges, jetties, ports, terminals and stations are identified and located on a map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2.2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 xml:space="preserve">Major connecting roads entering and exiting main transport interchanges, terminals, jetties, ports and rail stations are identified and located on a map 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2.3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Established passenger pickup and drop-off areas at main transport interchanges, jetties, ports,</w:t>
            </w:r>
            <w:r w:rsidRPr="003026D2">
              <w:t xml:space="preserve"> airports, terminals and stations are identified and located on a map 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2.4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Special access and/or financial requirements for entering and exiting main transport interchanges, jetties, ports, terminals and stations are observed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 xml:space="preserve">Identify main </w:t>
            </w:r>
            <w:r w:rsidRPr="003026D2">
              <w:rPr>
                <w:rStyle w:val="SpecialBold"/>
              </w:rPr>
              <w:t>public services and facilities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3.1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Key tourist locations are located on a map and their features are communicated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3.2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Key public services and facilities are located on a map and communicated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3.3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Main scenic routes, places and landmarks of interest to tourists are determined and features are communicated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rPr>
                <w:rStyle w:val="SpecialBold"/>
              </w:rPr>
              <w:t>Locate key features in a central business district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4.1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Streets, major buildi</w:t>
            </w:r>
            <w:r w:rsidRPr="003026D2">
              <w:t xml:space="preserve">ngs and traffic flow directions of central business district and city centre are identified and located on a map 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4.2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 xml:space="preserve">City hotels are identified and located on a map 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4.3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t>Exit and entry points to city are determined in relation to a final destination</w:t>
            </w:r>
          </w:p>
        </w:tc>
      </w:tr>
      <w:tr w:rsidTr="003026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>
            <w:pPr>
              <w:pStyle w:val="BodyText"/>
              <w:keepLines w:val="0"/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6D2">
            <w:pPr>
              <w:pStyle w:val="BodyText"/>
              <w:rPr>
                <w:lang w:val="en-NZ"/>
              </w:rPr>
            </w:pPr>
            <w:r w:rsidRPr="003026D2">
              <w:rPr>
                <w:rStyle w:val="SpecialBold"/>
              </w:rPr>
              <w:t>4.4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 xml:space="preserve">Transport interchanges and passenger pickup and drop-off areas in central business district and city centre are identified and located on a map </w:t>
            </w:r>
          </w:p>
        </w:tc>
      </w:tr>
    </w:tbl>
    <w:p w:rsidR="00345E26" w:rsidP="003026D2">
      <w:pPr>
        <w:pStyle w:val="NoPaddingFontSize1"/>
      </w:pPr>
    </w:p>
    <w:p w:rsidR="00345E26" w:rsidP="003026D2">
      <w:pPr>
        <w:pStyle w:val="NoPaddingFontSize1"/>
      </w:pPr>
    </w:p>
    <w:p w:rsidR="00000000" w:rsidRPr="003026D2" w:rsidP="003026D2">
      <w:pPr>
        <w:pStyle w:val="Heading1"/>
      </w:pPr>
      <w:bookmarkStart w:id="7" w:name="O_1194173"/>
      <w:bookmarkEnd w:id="7"/>
      <w:r w:rsidRPr="003026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 xml:space="preserve">Foundation skills essential to performance are explicit in the performance criteria of this unit of </w:t>
            </w:r>
            <w:r w:rsidRPr="003026D2">
              <w:t>competency.</w:t>
            </w:r>
          </w:p>
        </w:tc>
      </w:tr>
    </w:tbl>
    <w:p w:rsidR="00345E26" w:rsidP="003026D2">
      <w:pPr>
        <w:pStyle w:val="NoPaddingFontSize1"/>
      </w:pPr>
    </w:p>
    <w:p w:rsidR="00345E26" w:rsidP="003026D2">
      <w:pPr>
        <w:pStyle w:val="NoPaddingFontSize1"/>
      </w:pPr>
    </w:p>
    <w:p w:rsidR="00000000" w:rsidRPr="003026D2" w:rsidP="003026D2">
      <w:pPr>
        <w:pStyle w:val="Heading1"/>
      </w:pPr>
      <w:bookmarkStart w:id="8" w:name="O_1194174"/>
      <w:bookmarkEnd w:id="8"/>
      <w:r w:rsidRPr="003026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>Range is restricted to essential operating conditions and any other variables essential to the work en</w:t>
            </w:r>
            <w:r w:rsidRPr="003026D2">
              <w:t>vironment.</w:t>
            </w:r>
          </w:p>
          <w:p w:rsidR="00000000" w:rsidRPr="003026D2" w:rsidP="003026D2">
            <w:pPr>
              <w:pStyle w:val="BodyText"/>
            </w:pPr>
            <w:r w:rsidRPr="003026D2">
              <w:t>Non-essential conditions can be found in the TLI Transport and Logistics Training Package Companion Volume Implementation Guide.</w:t>
            </w:r>
          </w:p>
        </w:tc>
      </w:tr>
    </w:tbl>
    <w:p w:rsidR="00345E26" w:rsidP="003026D2">
      <w:pPr>
        <w:pStyle w:val="NoPaddingFontSize1"/>
      </w:pPr>
    </w:p>
    <w:p w:rsidR="00345E26" w:rsidP="003026D2">
      <w:pPr>
        <w:pStyle w:val="NoPaddingFontSize1"/>
      </w:pPr>
    </w:p>
    <w:p w:rsidR="00000000" w:rsidRPr="003026D2" w:rsidP="003026D2">
      <w:pPr>
        <w:pStyle w:val="Heading1"/>
      </w:pPr>
      <w:bookmarkStart w:id="9" w:name="O_1194175"/>
      <w:bookmarkEnd w:id="9"/>
      <w:r w:rsidRPr="003026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6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6D2" w:rsidP="003026D2">
            <w:pPr>
              <w:pStyle w:val="BodyText"/>
            </w:pPr>
            <w:r w:rsidRPr="003026D2">
              <w:t>This unit replaces and is equivalent to TLIH3004 Identify major roads, services and attractions.</w:t>
            </w:r>
          </w:p>
        </w:tc>
      </w:tr>
    </w:tbl>
    <w:p w:rsidR="00345E26" w:rsidP="003026D2">
      <w:pPr>
        <w:pStyle w:val="NoPaddingFontSize1"/>
      </w:pPr>
    </w:p>
    <w:p w:rsidR="00345E26" w:rsidP="003026D2">
      <w:pPr>
        <w:pStyle w:val="NoPaddingFontSize1"/>
      </w:pPr>
    </w:p>
    <w:p w:rsidR="00000000" w:rsidRPr="003026D2" w:rsidP="003026D2">
      <w:pPr>
        <w:pStyle w:val="Heading1"/>
      </w:pPr>
      <w:bookmarkStart w:id="10" w:name="O_1194182"/>
      <w:bookmarkEnd w:id="10"/>
      <w:r w:rsidRPr="003026D2">
        <w:t>Links</w:t>
      </w:r>
    </w:p>
    <w:p w:rsidR="00000000" w:rsidRPr="003026D2" w:rsidP="00345E26">
      <w:pPr>
        <w:pStyle w:val="BodyText"/>
      </w:pPr>
      <w:r w:rsidRPr="00302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12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26D2" w:rsidP="003026D2"/>
    <w:sectPr w:rsidSect="00302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2" w:rsidRPr="00345E26" w:rsidP="00345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26" w:rsidP="00302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E26" w:rsidP="00302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5E26" w:rsidP="00302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6D2" w:rsidRPr="00345E26" w:rsidP="00345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26" w:rsidRPr="002D2AF8" w:rsidP="00302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TLIH0004 Identify major roads, services and attractions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45E26" w:rsidP="00302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6D2"/>
  </w:style>
  <w:style w:type="character" w:customStyle="1" w:styleId="Heading1Char">
    <w:name w:val="Heading 1 Char"/>
    <w:basedOn w:val="DefaultParagraphFont"/>
    <w:link w:val="Heading1"/>
    <w:rsid w:val="00302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6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26D2"/>
    <w:rPr>
      <w:b/>
      <w:spacing w:val="0"/>
    </w:rPr>
  </w:style>
  <w:style w:type="paragraph" w:customStyle="1" w:styleId="SuperHeading">
    <w:name w:val="SuperHeading"/>
    <w:basedOn w:val="Normal"/>
    <w:rsid w:val="00302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2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6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2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6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6D2"/>
    <w:rPr>
      <w:i/>
    </w:rPr>
  </w:style>
  <w:style w:type="paragraph" w:styleId="Caption">
    <w:name w:val="caption"/>
    <w:basedOn w:val="BodyText"/>
    <w:next w:val="Normal"/>
    <w:qFormat/>
    <w:rsid w:val="00302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6D2"/>
  </w:style>
  <w:style w:type="paragraph" w:styleId="TableofFigures">
    <w:name w:val="table of figures"/>
    <w:basedOn w:val="Normal"/>
    <w:next w:val="Normal"/>
    <w:semiHidden/>
    <w:rsid w:val="00302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6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26D2"/>
    <w:rPr>
      <w:rFonts w:ascii="Wingdings" w:hAnsi="Wingdings"/>
    </w:rPr>
  </w:style>
  <w:style w:type="paragraph" w:customStyle="1" w:styleId="TableHeading">
    <w:name w:val="Table Heading"/>
    <w:basedOn w:val="HeadingBase"/>
    <w:rsid w:val="00302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6D2"/>
    <w:rPr>
      <w:color w:val="0033CC"/>
      <w:u w:val="none"/>
    </w:rPr>
  </w:style>
  <w:style w:type="paragraph" w:customStyle="1" w:styleId="BodyTextRight">
    <w:name w:val="Body Text Right"/>
    <w:basedOn w:val="BodyText"/>
    <w:rsid w:val="00302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6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6D2"/>
    <w:rPr>
      <w:sz w:val="32"/>
    </w:rPr>
  </w:style>
  <w:style w:type="paragraph" w:customStyle="1" w:styleId="HeadingProcedure">
    <w:name w:val="Heading Procedure"/>
    <w:basedOn w:val="HeadingBase"/>
    <w:next w:val="Normal"/>
    <w:rsid w:val="00302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6D2"/>
    <w:pPr>
      <w:spacing w:before="60" w:after="60"/>
    </w:pPr>
  </w:style>
  <w:style w:type="paragraph" w:styleId="ListContinue">
    <w:name w:val="List Continue"/>
    <w:basedOn w:val="List"/>
    <w:rsid w:val="003026D2"/>
    <w:pPr>
      <w:ind w:firstLine="0"/>
    </w:pPr>
  </w:style>
  <w:style w:type="paragraph" w:customStyle="1" w:styleId="ListNote">
    <w:name w:val="List Note"/>
    <w:basedOn w:val="List"/>
    <w:rsid w:val="00302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6D2"/>
    <w:rPr>
      <w:rFonts w:ascii="Courier New" w:hAnsi="Courier New"/>
    </w:rPr>
  </w:style>
  <w:style w:type="paragraph" w:customStyle="1" w:styleId="NoteBullet">
    <w:name w:val="Note Bullet"/>
    <w:basedOn w:val="Note"/>
    <w:rsid w:val="00302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6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2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6D2"/>
    <w:rPr>
      <w:b/>
      <w:smallCaps/>
    </w:rPr>
  </w:style>
  <w:style w:type="paragraph" w:customStyle="1" w:styleId="TableListNumber">
    <w:name w:val="Table List Number"/>
    <w:basedOn w:val="ListNumber"/>
    <w:rsid w:val="00302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6D2"/>
    <w:pPr>
      <w:numPr>
        <w:numId w:val="7"/>
      </w:numPr>
    </w:pPr>
  </w:style>
  <w:style w:type="paragraph" w:customStyle="1" w:styleId="ListAlpha2">
    <w:name w:val="List Alpha 2"/>
    <w:basedOn w:val="List2"/>
    <w:rsid w:val="003026D2"/>
    <w:pPr>
      <w:numPr>
        <w:numId w:val="6"/>
      </w:numPr>
    </w:pPr>
  </w:style>
  <w:style w:type="paragraph" w:styleId="List2">
    <w:name w:val="List 2"/>
    <w:basedOn w:val="BodyText"/>
    <w:rsid w:val="00302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6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6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26D2"/>
    <w:pPr>
      <w:numPr>
        <w:numId w:val="2"/>
      </w:numPr>
    </w:pPr>
  </w:style>
  <w:style w:type="paragraph" w:styleId="ListContinue2">
    <w:name w:val="List Continue 2"/>
    <w:basedOn w:val="List2"/>
    <w:rsid w:val="003026D2"/>
    <w:pPr>
      <w:ind w:firstLine="0"/>
    </w:pPr>
  </w:style>
  <w:style w:type="paragraph" w:styleId="ListContinue3">
    <w:name w:val="List Continue 3"/>
    <w:basedOn w:val="List3"/>
    <w:rsid w:val="003026D2"/>
    <w:pPr>
      <w:ind w:left="1021" w:firstLine="0"/>
    </w:pPr>
  </w:style>
  <w:style w:type="paragraph" w:styleId="ListContinue4">
    <w:name w:val="List Continue 4"/>
    <w:basedOn w:val="List4"/>
    <w:rsid w:val="003026D2"/>
    <w:pPr>
      <w:ind w:firstLine="0"/>
    </w:pPr>
  </w:style>
  <w:style w:type="paragraph" w:styleId="ListContinue5">
    <w:name w:val="List Continue 5"/>
    <w:basedOn w:val="List5"/>
    <w:rsid w:val="003026D2"/>
    <w:pPr>
      <w:ind w:firstLine="0"/>
    </w:pPr>
  </w:style>
  <w:style w:type="paragraph" w:styleId="ListNumber3">
    <w:name w:val="List Number 3"/>
    <w:basedOn w:val="List3"/>
    <w:rsid w:val="003026D2"/>
    <w:pPr>
      <w:numPr>
        <w:numId w:val="3"/>
      </w:numPr>
    </w:pPr>
  </w:style>
  <w:style w:type="paragraph" w:styleId="ListNumber4">
    <w:name w:val="List Number 4"/>
    <w:basedOn w:val="List4"/>
    <w:rsid w:val="003026D2"/>
    <w:pPr>
      <w:numPr>
        <w:numId w:val="4"/>
      </w:numPr>
    </w:pPr>
  </w:style>
  <w:style w:type="paragraph" w:styleId="ListNumber5">
    <w:name w:val="List Number 5"/>
    <w:basedOn w:val="List5"/>
    <w:rsid w:val="003026D2"/>
    <w:pPr>
      <w:numPr>
        <w:numId w:val="5"/>
      </w:numPr>
    </w:pPr>
  </w:style>
  <w:style w:type="paragraph" w:styleId="BlockText">
    <w:name w:val="Block Text"/>
    <w:basedOn w:val="Normal"/>
    <w:rsid w:val="00302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6D2"/>
    <w:rPr>
      <w:sz w:val="16"/>
      <w:vertAlign w:val="superscript"/>
    </w:rPr>
  </w:style>
  <w:style w:type="character" w:customStyle="1" w:styleId="Symbols">
    <w:name w:val="Symbols"/>
    <w:basedOn w:val="DefaultParagraphFont"/>
    <w:rsid w:val="003026D2"/>
    <w:rPr>
      <w:rFonts w:ascii="Symbol" w:hAnsi="Symbol"/>
    </w:rPr>
  </w:style>
  <w:style w:type="character" w:customStyle="1" w:styleId="MenuOptions">
    <w:name w:val="Menu Options"/>
    <w:basedOn w:val="DefaultParagraphFont"/>
    <w:rsid w:val="00302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6D2"/>
    <w:rPr>
      <w:b/>
    </w:rPr>
  </w:style>
  <w:style w:type="character" w:customStyle="1" w:styleId="Underlined">
    <w:name w:val="Underlined"/>
    <w:basedOn w:val="DefaultParagraphFont"/>
    <w:rsid w:val="003026D2"/>
    <w:rPr>
      <w:u w:val="single"/>
    </w:rPr>
  </w:style>
  <w:style w:type="paragraph" w:customStyle="1" w:styleId="TableBodyTextRight">
    <w:name w:val="Table Body Text Right"/>
    <w:basedOn w:val="TableBodyText"/>
    <w:rsid w:val="00302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6D2"/>
    <w:rPr>
      <w:sz w:val="18"/>
    </w:rPr>
  </w:style>
  <w:style w:type="paragraph" w:customStyle="1" w:styleId="BodySmallRight">
    <w:name w:val="Body Small Right"/>
    <w:basedOn w:val="BodyTextRight"/>
    <w:rsid w:val="003026D2"/>
    <w:rPr>
      <w:sz w:val="18"/>
      <w:szCs w:val="18"/>
    </w:rPr>
  </w:style>
  <w:style w:type="paragraph" w:customStyle="1" w:styleId="MarginEdition">
    <w:name w:val="Margin Edition"/>
    <w:basedOn w:val="MarginNote"/>
    <w:rsid w:val="00302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6D2"/>
    <w:rPr>
      <w:sz w:val="2"/>
      <w:szCs w:val="2"/>
    </w:rPr>
  </w:style>
  <w:style w:type="character" w:customStyle="1" w:styleId="Small">
    <w:name w:val="Small"/>
    <w:basedOn w:val="DefaultParagraphFont"/>
    <w:rsid w:val="003026D2"/>
    <w:rPr>
      <w:sz w:val="16"/>
    </w:rPr>
  </w:style>
  <w:style w:type="paragraph" w:customStyle="1" w:styleId="WideTable">
    <w:name w:val="Wide Table"/>
    <w:basedOn w:val="Normal"/>
    <w:rsid w:val="00302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6D2"/>
  </w:style>
  <w:style w:type="paragraph" w:styleId="Quote">
    <w:name w:val="Quote"/>
    <w:basedOn w:val="Heading1"/>
    <w:link w:val="QuoteChar"/>
    <w:qFormat/>
    <w:rsid w:val="00302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6D2"/>
    <w:pPr>
      <w:pageBreakBefore/>
    </w:pPr>
  </w:style>
  <w:style w:type="paragraph" w:customStyle="1" w:styleId="Border">
    <w:name w:val="Border"/>
    <w:basedOn w:val="Normal"/>
    <w:qFormat/>
    <w:rsid w:val="00302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6D2"/>
    <w:rPr>
      <w:u w:val="single"/>
    </w:rPr>
  </w:style>
  <w:style w:type="character" w:customStyle="1" w:styleId="BoldandItalics">
    <w:name w:val="Bold and Italics"/>
    <w:qFormat/>
    <w:rsid w:val="003026D2"/>
    <w:rPr>
      <w:b/>
      <w:i/>
      <w:u w:val="none"/>
    </w:rPr>
  </w:style>
  <w:style w:type="paragraph" w:styleId="BalloonText">
    <w:name w:val="Balloon Text"/>
    <w:basedOn w:val="Normal"/>
    <w:link w:val="BalloonTextChar"/>
    <w:rsid w:val="00302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6D2"/>
    <w:pPr>
      <w:spacing w:before="0" w:after="0"/>
    </w:pPr>
  </w:style>
  <w:style w:type="paragraph" w:customStyle="1" w:styleId="BodyTextBold">
    <w:name w:val="Body Text Bold"/>
    <w:basedOn w:val="BodyText"/>
    <w:qFormat/>
    <w:rsid w:val="003026D2"/>
    <w:rPr>
      <w:b/>
    </w:rPr>
  </w:style>
  <w:style w:type="character" w:styleId="Hyperlink">
    <w:name w:val="Hyperlink"/>
    <w:basedOn w:val="DefaultParagraphFont"/>
    <w:uiPriority w:val="99"/>
    <w:unhideWhenUsed/>
    <w:rsid w:val="00345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3569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TLIH0004 Identify major roads, services and attractions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